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66D8" w:rsidRPr="00263053" w:rsidRDefault="003666D8" w:rsidP="003666D8">
      <w:pPr>
        <w:spacing w:line="480" w:lineRule="auto"/>
        <w:jc w:val="center"/>
        <w:rPr>
          <w:rFonts w:ascii="Times New Roman" w:hAnsi="Times New Roman" w:cs="Times New Roman"/>
          <w:color w:val="000000" w:themeColor="text1"/>
          <w:sz w:val="24"/>
          <w:szCs w:val="24"/>
        </w:rPr>
      </w:pPr>
    </w:p>
    <w:p w:rsidR="003666D8" w:rsidRPr="00263053" w:rsidRDefault="003666D8" w:rsidP="003666D8">
      <w:pPr>
        <w:spacing w:line="480" w:lineRule="auto"/>
        <w:jc w:val="center"/>
        <w:rPr>
          <w:rFonts w:ascii="Times New Roman" w:hAnsi="Times New Roman" w:cs="Times New Roman"/>
          <w:color w:val="000000" w:themeColor="text1"/>
          <w:sz w:val="24"/>
          <w:szCs w:val="24"/>
        </w:rPr>
      </w:pPr>
    </w:p>
    <w:p w:rsidR="003666D8" w:rsidRPr="00263053" w:rsidRDefault="003666D8" w:rsidP="003666D8">
      <w:pPr>
        <w:spacing w:line="480" w:lineRule="auto"/>
        <w:jc w:val="center"/>
        <w:rPr>
          <w:rFonts w:ascii="Times New Roman" w:hAnsi="Times New Roman" w:cs="Times New Roman"/>
          <w:color w:val="000000" w:themeColor="text1"/>
          <w:sz w:val="24"/>
          <w:szCs w:val="24"/>
        </w:rPr>
      </w:pPr>
    </w:p>
    <w:p w:rsidR="003666D8" w:rsidRPr="00263053" w:rsidRDefault="003666D8" w:rsidP="003666D8">
      <w:pPr>
        <w:spacing w:line="480" w:lineRule="auto"/>
        <w:jc w:val="center"/>
        <w:rPr>
          <w:rFonts w:ascii="Times New Roman" w:hAnsi="Times New Roman" w:cs="Times New Roman"/>
          <w:color w:val="000000" w:themeColor="text1"/>
          <w:sz w:val="24"/>
          <w:szCs w:val="24"/>
        </w:rPr>
      </w:pPr>
    </w:p>
    <w:p w:rsidR="003666D8" w:rsidRPr="00263053" w:rsidRDefault="003666D8" w:rsidP="003666D8">
      <w:pPr>
        <w:spacing w:line="480" w:lineRule="auto"/>
        <w:jc w:val="center"/>
        <w:rPr>
          <w:rFonts w:ascii="Times New Roman" w:hAnsi="Times New Roman" w:cs="Times New Roman"/>
          <w:color w:val="000000" w:themeColor="text1"/>
          <w:sz w:val="24"/>
          <w:szCs w:val="24"/>
        </w:rPr>
      </w:pPr>
    </w:p>
    <w:p w:rsidR="004E36B5" w:rsidRPr="00263053" w:rsidRDefault="004E36B5" w:rsidP="003666D8">
      <w:pPr>
        <w:spacing w:line="480" w:lineRule="auto"/>
        <w:jc w:val="center"/>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Demand and Supply for Coffee</w:t>
      </w:r>
    </w:p>
    <w:p w:rsidR="003666D8" w:rsidRPr="00263053" w:rsidRDefault="003666D8" w:rsidP="003666D8">
      <w:pPr>
        <w:jc w:val="center"/>
        <w:rPr>
          <w:rFonts w:ascii="Times New Roman" w:hAnsi="Times New Roman" w:cs="Times New Roman"/>
          <w:color w:val="000000" w:themeColor="text1"/>
          <w:sz w:val="24"/>
          <w:szCs w:val="24"/>
        </w:rPr>
      </w:pPr>
      <w:r w:rsidRPr="00263053">
        <w:rPr>
          <w:rFonts w:ascii="Times New Roman" w:eastAsia="Calibri" w:hAnsi="Times New Roman" w:cs="Times New Roman"/>
          <w:color w:val="000000" w:themeColor="text1"/>
          <w:sz w:val="24"/>
          <w:szCs w:val="24"/>
        </w:rPr>
        <w:t>A</w:t>
      </w:r>
      <w:r w:rsidRPr="00263053">
        <w:rPr>
          <w:rFonts w:ascii="Times New Roman" w:eastAsia="Calibri" w:hAnsi="Times New Roman" w:cs="Times New Roman"/>
          <w:color w:val="000000" w:themeColor="text1"/>
          <w:sz w:val="24"/>
          <w:szCs w:val="24"/>
        </w:rPr>
        <w:t>uthor</w:t>
      </w:r>
      <w:r w:rsidRPr="00263053">
        <w:rPr>
          <w:rFonts w:ascii="Times New Roman" w:eastAsia="Calibri" w:hAnsi="Times New Roman" w:cs="Times New Roman"/>
          <w:color w:val="000000" w:themeColor="text1"/>
          <w:sz w:val="24"/>
          <w:szCs w:val="24"/>
        </w:rPr>
        <w:t xml:space="preserve">’s </w:t>
      </w:r>
      <w:r w:rsidRPr="00263053">
        <w:rPr>
          <w:rFonts w:ascii="Times New Roman" w:eastAsia="Calibri" w:hAnsi="Times New Roman" w:cs="Times New Roman"/>
          <w:color w:val="000000" w:themeColor="text1"/>
          <w:sz w:val="24"/>
          <w:szCs w:val="24"/>
        </w:rPr>
        <w:t xml:space="preserve">Name </w:t>
      </w:r>
    </w:p>
    <w:p w:rsidR="003666D8" w:rsidRPr="00263053" w:rsidRDefault="003666D8" w:rsidP="003666D8">
      <w:pPr>
        <w:jc w:val="center"/>
        <w:rPr>
          <w:rFonts w:ascii="Times New Roman" w:hAnsi="Times New Roman" w:cs="Times New Roman"/>
          <w:color w:val="000000" w:themeColor="text1"/>
          <w:sz w:val="24"/>
          <w:szCs w:val="24"/>
        </w:rPr>
      </w:pPr>
      <w:r w:rsidRPr="00263053">
        <w:rPr>
          <w:rFonts w:ascii="Times New Roman" w:eastAsia="Calibri" w:hAnsi="Times New Roman" w:cs="Times New Roman"/>
          <w:color w:val="000000" w:themeColor="text1"/>
          <w:sz w:val="24"/>
          <w:szCs w:val="24"/>
        </w:rPr>
        <w:t xml:space="preserve">Author’s </w:t>
      </w:r>
      <w:r w:rsidRPr="00263053">
        <w:rPr>
          <w:rFonts w:ascii="Times New Roman" w:eastAsia="Calibri" w:hAnsi="Times New Roman" w:cs="Times New Roman"/>
          <w:color w:val="000000" w:themeColor="text1"/>
          <w:sz w:val="24"/>
          <w:szCs w:val="24"/>
        </w:rPr>
        <w:t xml:space="preserve">E-mail address </w:t>
      </w:r>
    </w:p>
    <w:p w:rsidR="003666D8" w:rsidRPr="00263053" w:rsidRDefault="003666D8" w:rsidP="003666D8">
      <w:pPr>
        <w:jc w:val="center"/>
        <w:rPr>
          <w:rFonts w:ascii="Times New Roman" w:hAnsi="Times New Roman" w:cs="Times New Roman"/>
          <w:color w:val="000000" w:themeColor="text1"/>
          <w:sz w:val="24"/>
          <w:szCs w:val="24"/>
        </w:rPr>
      </w:pPr>
      <w:r w:rsidRPr="00263053">
        <w:rPr>
          <w:rFonts w:ascii="Times New Roman" w:eastAsia="Calibri" w:hAnsi="Times New Roman" w:cs="Times New Roman"/>
          <w:color w:val="000000" w:themeColor="text1"/>
          <w:sz w:val="24"/>
          <w:szCs w:val="24"/>
        </w:rPr>
        <w:t>Class name</w:t>
      </w:r>
    </w:p>
    <w:p w:rsidR="003666D8" w:rsidRPr="00263053" w:rsidRDefault="003666D8" w:rsidP="003666D8">
      <w:pPr>
        <w:jc w:val="center"/>
        <w:rPr>
          <w:rFonts w:ascii="Times New Roman" w:hAnsi="Times New Roman" w:cs="Times New Roman"/>
          <w:color w:val="000000" w:themeColor="text1"/>
          <w:sz w:val="24"/>
          <w:szCs w:val="24"/>
        </w:rPr>
      </w:pPr>
      <w:r w:rsidRPr="00263053">
        <w:rPr>
          <w:rFonts w:ascii="Times New Roman" w:eastAsia="Calibri" w:hAnsi="Times New Roman" w:cs="Times New Roman"/>
          <w:color w:val="000000" w:themeColor="text1"/>
          <w:sz w:val="24"/>
          <w:szCs w:val="24"/>
        </w:rPr>
        <w:t>Professor's name</w:t>
      </w:r>
    </w:p>
    <w:p w:rsidR="003666D8" w:rsidRPr="00263053" w:rsidRDefault="003666D8" w:rsidP="003666D8">
      <w:pPr>
        <w:spacing w:line="480" w:lineRule="auto"/>
        <w:jc w:val="center"/>
        <w:rPr>
          <w:rFonts w:ascii="Times New Roman" w:eastAsia="Calibri" w:hAnsi="Times New Roman" w:cs="Times New Roman"/>
          <w:color w:val="000000" w:themeColor="text1"/>
          <w:sz w:val="24"/>
          <w:szCs w:val="24"/>
        </w:rPr>
      </w:pPr>
      <w:r w:rsidRPr="00263053">
        <w:rPr>
          <w:rFonts w:ascii="Times New Roman" w:eastAsia="Calibri" w:hAnsi="Times New Roman" w:cs="Times New Roman"/>
          <w:color w:val="000000" w:themeColor="text1"/>
          <w:sz w:val="24"/>
          <w:szCs w:val="24"/>
        </w:rPr>
        <w:t>Date</w:t>
      </w:r>
    </w:p>
    <w:p w:rsidR="003666D8" w:rsidRPr="00263053" w:rsidRDefault="003666D8" w:rsidP="003666D8">
      <w:pPr>
        <w:spacing w:line="480" w:lineRule="auto"/>
        <w:jc w:val="center"/>
        <w:rPr>
          <w:rFonts w:ascii="Times New Roman" w:eastAsia="Calibri" w:hAnsi="Times New Roman" w:cs="Times New Roman"/>
          <w:color w:val="000000" w:themeColor="text1"/>
          <w:sz w:val="24"/>
          <w:szCs w:val="24"/>
        </w:rPr>
      </w:pPr>
    </w:p>
    <w:p w:rsidR="003666D8" w:rsidRPr="00263053" w:rsidRDefault="003666D8" w:rsidP="003666D8">
      <w:pPr>
        <w:spacing w:line="480" w:lineRule="auto"/>
        <w:jc w:val="center"/>
        <w:rPr>
          <w:rFonts w:ascii="Times New Roman" w:eastAsia="Calibri" w:hAnsi="Times New Roman" w:cs="Times New Roman"/>
          <w:color w:val="000000" w:themeColor="text1"/>
          <w:sz w:val="24"/>
          <w:szCs w:val="24"/>
        </w:rPr>
      </w:pPr>
    </w:p>
    <w:p w:rsidR="003666D8" w:rsidRPr="00263053" w:rsidRDefault="003666D8" w:rsidP="003666D8">
      <w:pPr>
        <w:spacing w:line="480" w:lineRule="auto"/>
        <w:jc w:val="center"/>
        <w:rPr>
          <w:rFonts w:ascii="Times New Roman" w:eastAsia="Calibri" w:hAnsi="Times New Roman" w:cs="Times New Roman"/>
          <w:color w:val="000000" w:themeColor="text1"/>
          <w:sz w:val="24"/>
          <w:szCs w:val="24"/>
        </w:rPr>
      </w:pPr>
    </w:p>
    <w:p w:rsidR="003666D8" w:rsidRPr="00263053" w:rsidRDefault="003666D8" w:rsidP="003666D8">
      <w:pPr>
        <w:spacing w:line="480" w:lineRule="auto"/>
        <w:jc w:val="center"/>
        <w:rPr>
          <w:rFonts w:ascii="Times New Roman" w:eastAsia="Calibri" w:hAnsi="Times New Roman" w:cs="Times New Roman"/>
          <w:color w:val="000000" w:themeColor="text1"/>
          <w:sz w:val="24"/>
          <w:szCs w:val="24"/>
        </w:rPr>
      </w:pPr>
    </w:p>
    <w:p w:rsidR="003666D8" w:rsidRPr="00263053" w:rsidRDefault="003666D8" w:rsidP="003666D8">
      <w:pPr>
        <w:spacing w:line="480" w:lineRule="auto"/>
        <w:jc w:val="center"/>
        <w:rPr>
          <w:rFonts w:ascii="Times New Roman" w:eastAsia="Calibri" w:hAnsi="Times New Roman" w:cs="Times New Roman"/>
          <w:color w:val="000000" w:themeColor="text1"/>
          <w:sz w:val="24"/>
          <w:szCs w:val="24"/>
        </w:rPr>
      </w:pPr>
    </w:p>
    <w:p w:rsidR="003666D8" w:rsidRPr="00263053" w:rsidRDefault="003666D8" w:rsidP="003666D8">
      <w:pPr>
        <w:spacing w:line="480" w:lineRule="auto"/>
        <w:jc w:val="center"/>
        <w:rPr>
          <w:rFonts w:ascii="Times New Roman" w:eastAsia="Calibri" w:hAnsi="Times New Roman" w:cs="Times New Roman"/>
          <w:color w:val="000000" w:themeColor="text1"/>
          <w:sz w:val="24"/>
          <w:szCs w:val="24"/>
        </w:rPr>
      </w:pPr>
    </w:p>
    <w:p w:rsidR="003666D8" w:rsidRPr="00263053" w:rsidRDefault="003666D8" w:rsidP="003666D8">
      <w:pPr>
        <w:spacing w:line="480" w:lineRule="auto"/>
        <w:jc w:val="center"/>
        <w:rPr>
          <w:rFonts w:ascii="Times New Roman" w:eastAsia="Calibri" w:hAnsi="Times New Roman" w:cs="Times New Roman"/>
          <w:color w:val="000000" w:themeColor="text1"/>
          <w:sz w:val="24"/>
          <w:szCs w:val="24"/>
        </w:rPr>
      </w:pPr>
    </w:p>
    <w:p w:rsidR="003666D8" w:rsidRPr="00263053" w:rsidRDefault="003666D8" w:rsidP="003666D8">
      <w:pPr>
        <w:spacing w:line="480" w:lineRule="auto"/>
        <w:jc w:val="center"/>
        <w:rPr>
          <w:rFonts w:ascii="Times New Roman" w:eastAsia="Calibri" w:hAnsi="Times New Roman" w:cs="Times New Roman"/>
          <w:color w:val="000000" w:themeColor="text1"/>
          <w:sz w:val="24"/>
          <w:szCs w:val="24"/>
        </w:rPr>
      </w:pPr>
    </w:p>
    <w:p w:rsidR="003666D8" w:rsidRPr="00263053" w:rsidRDefault="003666D8" w:rsidP="003666D8">
      <w:pPr>
        <w:spacing w:line="480" w:lineRule="auto"/>
        <w:jc w:val="center"/>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lastRenderedPageBreak/>
        <w:t>Demand and Supply for Coffee</w:t>
      </w:r>
    </w:p>
    <w:p w:rsidR="004E36B5" w:rsidRPr="00263053" w:rsidRDefault="004E36B5" w:rsidP="003666D8">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The most critical skill in economics is the ability to correctly apply the theory of supply and demand to enhance a thorough understanding of specific markets. The approach demonstrates the practical affiliation amid the number of goods and services that critical consumers are willing and able to buy at a given price and time (Mohan, Gemech, Reeves, &amp; Struthers, 2016). This assignment grants the chance to thoroughly analyze several facts and shocks to the market for coffee. Coffee refers to a soft commodity derived from a coffee plant that grows mostly in subtropical as well as tropical climates (</w:t>
      </w:r>
      <w:proofErr w:type="spellStart"/>
      <w:r w:rsidRPr="00263053">
        <w:rPr>
          <w:rFonts w:ascii="Times New Roman" w:hAnsi="Times New Roman" w:cs="Times New Roman"/>
          <w:color w:val="000000" w:themeColor="text1"/>
          <w:sz w:val="24"/>
          <w:szCs w:val="24"/>
        </w:rPr>
        <w:t>Pião</w:t>
      </w:r>
      <w:proofErr w:type="spellEnd"/>
      <w:r w:rsidRPr="00263053">
        <w:rPr>
          <w:rFonts w:ascii="Times New Roman" w:hAnsi="Times New Roman" w:cs="Times New Roman"/>
          <w:color w:val="000000" w:themeColor="text1"/>
          <w:sz w:val="24"/>
          <w:szCs w:val="24"/>
        </w:rPr>
        <w:t xml:space="preserve">, da Fonseca, de </w:t>
      </w:r>
      <w:proofErr w:type="spellStart"/>
      <w:r w:rsidRPr="00263053">
        <w:rPr>
          <w:rFonts w:ascii="Times New Roman" w:hAnsi="Times New Roman" w:cs="Times New Roman"/>
          <w:color w:val="000000" w:themeColor="text1"/>
          <w:sz w:val="24"/>
          <w:szCs w:val="24"/>
        </w:rPr>
        <w:t>Carvalho</w:t>
      </w:r>
      <w:proofErr w:type="spellEnd"/>
      <w:r w:rsidRPr="00263053">
        <w:rPr>
          <w:rFonts w:ascii="Times New Roman" w:hAnsi="Times New Roman" w:cs="Times New Roman"/>
          <w:color w:val="000000" w:themeColor="text1"/>
          <w:sz w:val="24"/>
          <w:szCs w:val="24"/>
        </w:rPr>
        <w:t xml:space="preserve"> </w:t>
      </w:r>
      <w:proofErr w:type="spellStart"/>
      <w:r w:rsidRPr="00263053">
        <w:rPr>
          <w:rFonts w:ascii="Times New Roman" w:hAnsi="Times New Roman" w:cs="Times New Roman"/>
          <w:color w:val="000000" w:themeColor="text1"/>
          <w:sz w:val="24"/>
          <w:szCs w:val="24"/>
        </w:rPr>
        <w:t>Januário</w:t>
      </w:r>
      <w:proofErr w:type="spellEnd"/>
      <w:r w:rsidRPr="00263053">
        <w:rPr>
          <w:rFonts w:ascii="Times New Roman" w:hAnsi="Times New Roman" w:cs="Times New Roman"/>
          <w:color w:val="000000" w:themeColor="text1"/>
          <w:sz w:val="24"/>
          <w:szCs w:val="24"/>
        </w:rPr>
        <w:t xml:space="preserve">, &amp; </w:t>
      </w:r>
      <w:proofErr w:type="spellStart"/>
      <w:r w:rsidRPr="00263053">
        <w:rPr>
          <w:rFonts w:ascii="Times New Roman" w:hAnsi="Times New Roman" w:cs="Times New Roman"/>
          <w:color w:val="000000" w:themeColor="text1"/>
          <w:sz w:val="24"/>
          <w:szCs w:val="24"/>
        </w:rPr>
        <w:t>Saes</w:t>
      </w:r>
      <w:proofErr w:type="spellEnd"/>
      <w:r w:rsidRPr="00263053">
        <w:rPr>
          <w:rFonts w:ascii="Times New Roman" w:hAnsi="Times New Roman" w:cs="Times New Roman"/>
          <w:color w:val="000000" w:themeColor="text1"/>
          <w:sz w:val="24"/>
          <w:szCs w:val="24"/>
        </w:rPr>
        <w:t>, 2020). The beverage produced from cherries of these plants is the primary source of caffeine in diets in both developing and developed countries. Coffee as a commodity is one of the most traded products in the global markets. Coffee is grown in more than 50 countries; it provides living to over 20 million farmers. Approximately 100 million people are involved in coffee production, processing, trading, and retailing of the product. The target market for coffee includes specialty coffee drinkers, coffee shop lovers, drip coffee drinkers, not forgetting about whole bean buyers. Coffee traces its popularity from the 17th century from the lush highlands of Ethiopia (Mohan et al., 2016). Cherries were found to be appealing and aromatic. Once dried, coffee beans posed a stimulating effect, and hence locals in Ethiopia never perfume religious ceremonies without coffee being drunk.</w:t>
      </w:r>
    </w:p>
    <w:p w:rsidR="004E36B5" w:rsidRPr="00263053" w:rsidRDefault="004E36B5" w:rsidP="003666D8">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According to historical records, widespread coffee was a</w:t>
      </w:r>
      <w:r w:rsidR="00447AC3" w:rsidRPr="00263053">
        <w:rPr>
          <w:rFonts w:ascii="Times New Roman" w:hAnsi="Times New Roman" w:cs="Times New Roman"/>
          <w:color w:val="000000" w:themeColor="text1"/>
          <w:sz w:val="24"/>
          <w:szCs w:val="24"/>
        </w:rPr>
        <w:t>s a</w:t>
      </w:r>
      <w:r w:rsidRPr="00263053">
        <w:rPr>
          <w:rFonts w:ascii="Times New Roman" w:hAnsi="Times New Roman" w:cs="Times New Roman"/>
          <w:color w:val="000000" w:themeColor="text1"/>
          <w:sz w:val="24"/>
          <w:szCs w:val="24"/>
        </w:rPr>
        <w:t xml:space="preserve"> result of Sufis of Yemen, who were the first committed coffee drinkers outside Africa (</w:t>
      </w:r>
      <w:proofErr w:type="spellStart"/>
      <w:r w:rsidRPr="00263053">
        <w:rPr>
          <w:rFonts w:ascii="Times New Roman" w:hAnsi="Times New Roman" w:cs="Times New Roman"/>
          <w:color w:val="000000" w:themeColor="text1"/>
          <w:sz w:val="24"/>
          <w:szCs w:val="24"/>
        </w:rPr>
        <w:t>Pião</w:t>
      </w:r>
      <w:proofErr w:type="spellEnd"/>
      <w:r w:rsidRPr="00263053">
        <w:rPr>
          <w:rFonts w:ascii="Times New Roman" w:hAnsi="Times New Roman" w:cs="Times New Roman"/>
          <w:color w:val="000000" w:themeColor="text1"/>
          <w:sz w:val="24"/>
          <w:szCs w:val="24"/>
        </w:rPr>
        <w:t xml:space="preserve"> et al., 2020). As a result, coffee houses were established across the Ottoman Empire and the Middle East; and they ended up capturing the attention of Western traders who took the stimulating drink back to their home countries in the middle of the 17</w:t>
      </w:r>
      <w:r w:rsidRPr="00263053">
        <w:rPr>
          <w:rFonts w:ascii="Times New Roman" w:hAnsi="Times New Roman" w:cs="Times New Roman"/>
          <w:color w:val="000000" w:themeColor="text1"/>
          <w:sz w:val="24"/>
          <w:szCs w:val="24"/>
          <w:vertAlign w:val="superscript"/>
        </w:rPr>
        <w:t>th</w:t>
      </w:r>
      <w:r w:rsidRPr="00263053">
        <w:rPr>
          <w:rFonts w:ascii="Times New Roman" w:hAnsi="Times New Roman" w:cs="Times New Roman"/>
          <w:color w:val="000000" w:themeColor="text1"/>
          <w:sz w:val="24"/>
          <w:szCs w:val="24"/>
        </w:rPr>
        <w:t xml:space="preserve"> century (</w:t>
      </w:r>
      <w:proofErr w:type="spellStart"/>
      <w:r w:rsidRPr="00263053">
        <w:rPr>
          <w:rFonts w:ascii="Times New Roman" w:hAnsi="Times New Roman" w:cs="Times New Roman"/>
          <w:color w:val="000000" w:themeColor="text1"/>
          <w:sz w:val="24"/>
          <w:szCs w:val="24"/>
        </w:rPr>
        <w:t>Pião</w:t>
      </w:r>
      <w:proofErr w:type="spellEnd"/>
      <w:r w:rsidRPr="00263053">
        <w:rPr>
          <w:rFonts w:ascii="Times New Roman" w:hAnsi="Times New Roman" w:cs="Times New Roman"/>
          <w:color w:val="000000" w:themeColor="text1"/>
          <w:sz w:val="24"/>
          <w:szCs w:val="24"/>
        </w:rPr>
        <w:t xml:space="preserve"> et al., 2020). In the recent past, demand for </w:t>
      </w:r>
      <w:r w:rsidRPr="00263053">
        <w:rPr>
          <w:rFonts w:ascii="Times New Roman" w:hAnsi="Times New Roman" w:cs="Times New Roman"/>
          <w:color w:val="000000" w:themeColor="text1"/>
          <w:sz w:val="24"/>
          <w:szCs w:val="24"/>
        </w:rPr>
        <w:lastRenderedPageBreak/>
        <w:t>coffee has increased as a result of emerging nations featured with the rise in per capita incomes. Demand for coffee has also been as a result of skyrocketing prices for coffee substitutes such as cocoa and tea. On the other hand, supply determinants for coffee include predictable climatic conditions, a large number of countries producing coffee, high levels of coffee inventories, in addition to investment and productivity of coffee in the major coffee farming countries. There is no doubt that the demand and supply of coffee have increased tenfold over the past decade.</w:t>
      </w:r>
    </w:p>
    <w:p w:rsidR="003666D8" w:rsidRPr="00263053" w:rsidRDefault="004E36B5" w:rsidP="003666D8">
      <w:pPr>
        <w:spacing w:line="480" w:lineRule="auto"/>
        <w:jc w:val="center"/>
        <w:rPr>
          <w:rFonts w:ascii="Times New Roman" w:hAnsi="Times New Roman" w:cs="Times New Roman"/>
          <w:b/>
          <w:color w:val="000000" w:themeColor="text1"/>
          <w:sz w:val="24"/>
          <w:szCs w:val="24"/>
        </w:rPr>
      </w:pPr>
      <w:r w:rsidRPr="00263053">
        <w:rPr>
          <w:rFonts w:ascii="Times New Roman" w:hAnsi="Times New Roman" w:cs="Times New Roman"/>
          <w:b/>
          <w:color w:val="000000" w:themeColor="text1"/>
          <w:sz w:val="24"/>
          <w:szCs w:val="24"/>
        </w:rPr>
        <w:t>Data</w:t>
      </w:r>
      <w:r w:rsidR="003666D8" w:rsidRPr="00263053">
        <w:rPr>
          <w:rFonts w:ascii="Times New Roman" w:hAnsi="Times New Roman" w:cs="Times New Roman"/>
          <w:color w:val="000000" w:themeColor="text1"/>
          <w:sz w:val="24"/>
          <w:szCs w:val="24"/>
        </w:rPr>
        <w:t xml:space="preserve"> </w:t>
      </w:r>
    </w:p>
    <w:p w:rsidR="004E36B5" w:rsidRPr="00263053" w:rsidRDefault="004E36B5" w:rsidP="003666D8">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 xml:space="preserve">According to the International Coffee Organization (ICO) (2019), it is projected that coffee production will increase by 0.9% in the 2019/20 financial year as a result of various changes in productivity of robust and Arabica. World coffee exports amounted to 11.06 million bags in January 2019, compared with 10.78 million in January 2018 (Mohan et al., 2016). Statistics have affirmed that many people are consuming more coffee than it had been the case before. According to the UN’s Food and Agricultural Organization, coffee is one of the most popular drinks produced in over 50 countries (Bejan, </w:t>
      </w:r>
      <w:proofErr w:type="spellStart"/>
      <w:r w:rsidRPr="00263053">
        <w:rPr>
          <w:rFonts w:ascii="Times New Roman" w:hAnsi="Times New Roman" w:cs="Times New Roman"/>
          <w:color w:val="000000" w:themeColor="text1"/>
          <w:sz w:val="24"/>
          <w:szCs w:val="24"/>
        </w:rPr>
        <w:t>Colaner</w:t>
      </w:r>
      <w:proofErr w:type="spellEnd"/>
      <w:r w:rsidRPr="00263053">
        <w:rPr>
          <w:rFonts w:ascii="Times New Roman" w:hAnsi="Times New Roman" w:cs="Times New Roman"/>
          <w:color w:val="000000" w:themeColor="text1"/>
          <w:sz w:val="24"/>
          <w:szCs w:val="24"/>
        </w:rPr>
        <w:t xml:space="preserve">, Le, &amp; </w:t>
      </w:r>
      <w:proofErr w:type="spellStart"/>
      <w:r w:rsidRPr="00263053">
        <w:rPr>
          <w:rFonts w:ascii="Times New Roman" w:hAnsi="Times New Roman" w:cs="Times New Roman"/>
          <w:color w:val="000000" w:themeColor="text1"/>
          <w:sz w:val="24"/>
          <w:szCs w:val="24"/>
        </w:rPr>
        <w:t>Wydick</w:t>
      </w:r>
      <w:proofErr w:type="spellEnd"/>
      <w:r w:rsidRPr="00263053">
        <w:rPr>
          <w:rFonts w:ascii="Times New Roman" w:hAnsi="Times New Roman" w:cs="Times New Roman"/>
          <w:color w:val="000000" w:themeColor="text1"/>
          <w:sz w:val="24"/>
          <w:szCs w:val="24"/>
        </w:rPr>
        <w:t>, 2018). Brazil has been quoted as the most dominant producer of coffee in the world; wherein 2017-18, t</w:t>
      </w:r>
      <w:r w:rsidR="00905E36" w:rsidRPr="00263053">
        <w:rPr>
          <w:rFonts w:ascii="Times New Roman" w:hAnsi="Times New Roman" w:cs="Times New Roman"/>
          <w:color w:val="000000" w:themeColor="text1"/>
          <w:sz w:val="24"/>
          <w:szCs w:val="24"/>
        </w:rPr>
        <w:t>he country produced more than 50</w:t>
      </w:r>
      <w:r w:rsidRPr="00263053">
        <w:rPr>
          <w:rFonts w:ascii="Times New Roman" w:hAnsi="Times New Roman" w:cs="Times New Roman"/>
          <w:color w:val="000000" w:themeColor="text1"/>
          <w:sz w:val="24"/>
          <w:szCs w:val="24"/>
        </w:rPr>
        <w:t xml:space="preserve"> million bags of coffee beans, followed by Vietnam, Colombia, Indonesia, Honduras, Ethiopia, India, Uganda, Peru, and Mexico (Bejan et al., 2018). These facts are justified by the fig 1.1 </w:t>
      </w:r>
      <w:r w:rsidR="00084F02" w:rsidRPr="00263053">
        <w:rPr>
          <w:rFonts w:ascii="Times New Roman" w:hAnsi="Times New Roman" w:cs="Times New Roman"/>
          <w:color w:val="000000" w:themeColor="text1"/>
          <w:sz w:val="24"/>
          <w:szCs w:val="24"/>
        </w:rPr>
        <w:t>below</w:t>
      </w:r>
      <w:r w:rsidR="007C1860" w:rsidRPr="00263053">
        <w:rPr>
          <w:rFonts w:ascii="Times New Roman" w:hAnsi="Times New Roman" w:cs="Times New Roman"/>
          <w:color w:val="000000" w:themeColor="text1"/>
          <w:sz w:val="24"/>
          <w:szCs w:val="24"/>
        </w:rPr>
        <w:t>:</w:t>
      </w:r>
    </w:p>
    <w:p w:rsidR="003666D8" w:rsidRPr="00263053" w:rsidRDefault="003666D8" w:rsidP="003666D8">
      <w:pPr>
        <w:spacing w:line="480" w:lineRule="auto"/>
        <w:ind w:firstLine="720"/>
        <w:rPr>
          <w:rFonts w:ascii="Times New Roman" w:hAnsi="Times New Roman" w:cs="Times New Roman"/>
          <w:color w:val="000000" w:themeColor="text1"/>
          <w:sz w:val="24"/>
          <w:szCs w:val="24"/>
        </w:rPr>
      </w:pPr>
    </w:p>
    <w:p w:rsidR="003666D8" w:rsidRPr="00263053" w:rsidRDefault="003666D8" w:rsidP="003666D8">
      <w:pPr>
        <w:spacing w:line="480" w:lineRule="auto"/>
        <w:ind w:firstLine="720"/>
        <w:rPr>
          <w:rFonts w:ascii="Times New Roman" w:hAnsi="Times New Roman" w:cs="Times New Roman"/>
          <w:color w:val="000000" w:themeColor="text1"/>
          <w:sz w:val="24"/>
          <w:szCs w:val="24"/>
        </w:rPr>
      </w:pPr>
    </w:p>
    <w:p w:rsidR="003666D8" w:rsidRPr="00263053" w:rsidRDefault="003666D8" w:rsidP="003666D8">
      <w:pPr>
        <w:spacing w:line="480" w:lineRule="auto"/>
        <w:ind w:firstLine="720"/>
        <w:rPr>
          <w:rFonts w:ascii="Times New Roman" w:hAnsi="Times New Roman" w:cs="Times New Roman"/>
          <w:color w:val="000000" w:themeColor="text1"/>
          <w:sz w:val="24"/>
          <w:szCs w:val="24"/>
        </w:rPr>
      </w:pPr>
    </w:p>
    <w:p w:rsidR="003666D8" w:rsidRPr="00263053" w:rsidRDefault="003666D8" w:rsidP="003666D8">
      <w:pPr>
        <w:spacing w:line="480" w:lineRule="auto"/>
        <w:rPr>
          <w:rFonts w:ascii="Times New Roman" w:hAnsi="Times New Roman" w:cs="Times New Roman"/>
          <w:color w:val="000000" w:themeColor="text1"/>
          <w:sz w:val="24"/>
          <w:szCs w:val="24"/>
        </w:rPr>
      </w:pPr>
      <w:r w:rsidRPr="00263053">
        <w:rPr>
          <w:rFonts w:ascii="Times New Roman" w:hAnsi="Times New Roman" w:cs="Times New Roman"/>
          <w:noProof/>
          <w:color w:val="000000" w:themeColor="text1"/>
          <w:sz w:val="24"/>
          <w:szCs w:val="24"/>
        </w:rPr>
        <w:lastRenderedPageBreak/>
        <w:drawing>
          <wp:anchor distT="0" distB="0" distL="114300" distR="114300" simplePos="0" relativeHeight="251658240" behindDoc="0" locked="0" layoutInCell="1" allowOverlap="1" wp14:anchorId="1C360B9C" wp14:editId="60682E0C">
            <wp:simplePos x="0" y="0"/>
            <wp:positionH relativeFrom="margin">
              <wp:posOffset>66675</wp:posOffset>
            </wp:positionH>
            <wp:positionV relativeFrom="paragraph">
              <wp:posOffset>230505</wp:posOffset>
            </wp:positionV>
            <wp:extent cx="5876925" cy="4019550"/>
            <wp:effectExtent l="0" t="0" r="9525" b="0"/>
            <wp:wrapSquare wrapText="bothSides"/>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14:sizeRelH relativeFrom="margin">
              <wp14:pctWidth>0</wp14:pctWidth>
            </wp14:sizeRelH>
            <wp14:sizeRelV relativeFrom="margin">
              <wp14:pctHeight>0</wp14:pctHeight>
            </wp14:sizeRelV>
          </wp:anchor>
        </w:drawing>
      </w:r>
    </w:p>
    <w:p w:rsidR="004E36B5" w:rsidRPr="00263053" w:rsidRDefault="003666D8" w:rsidP="003666D8">
      <w:pPr>
        <w:spacing w:line="480" w:lineRule="auto"/>
        <w:ind w:firstLine="720"/>
        <w:rPr>
          <w:rFonts w:ascii="Times New Roman" w:hAnsi="Times New Roman" w:cs="Times New Roman"/>
          <w:b/>
          <w:color w:val="000000" w:themeColor="text1"/>
          <w:sz w:val="24"/>
          <w:szCs w:val="24"/>
        </w:rPr>
      </w:pPr>
      <w:r w:rsidRPr="00263053">
        <w:rPr>
          <w:rFonts w:ascii="Times New Roman" w:hAnsi="Times New Roman" w:cs="Times New Roman"/>
          <w:b/>
          <w:color w:val="000000" w:themeColor="text1"/>
          <w:sz w:val="24"/>
          <w:szCs w:val="24"/>
        </w:rPr>
        <w:t>Fig 1.1</w:t>
      </w:r>
    </w:p>
    <w:p w:rsidR="004E36B5" w:rsidRPr="00263053" w:rsidRDefault="004E36B5" w:rsidP="003666D8">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A report by Fairtrade Foundation (2019), asserts that over 125 million people around the world are dependent on coffee for their livelihood. Coffee contributed to around 25 million smallholder farms and hence producing more than 79% of the world’s coffee (Bejan et al., 2018). Fairtrade Foundation asserts that coffee farmers contribute more than 0.55 million tons of coffee year. Although researches have come up with more than 100 species of coffee plants, the most commonly grown are Robusta and Arabica.</w:t>
      </w:r>
    </w:p>
    <w:p w:rsidR="004E36B5" w:rsidRPr="00263053" w:rsidRDefault="004E36B5" w:rsidP="003666D8">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Regarding consumption, statistics have shown that only two countries constitute an average of 10 kilograms of coffee per person per year, and these include Sweden and Finland (Fain, 2019). However, Nordic countries marked the most significant percentage of coffee consumption p</w:t>
      </w:r>
      <w:r w:rsidR="003666D8" w:rsidRPr="00263053">
        <w:rPr>
          <w:rFonts w:ascii="Times New Roman" w:hAnsi="Times New Roman" w:cs="Times New Roman"/>
          <w:color w:val="000000" w:themeColor="text1"/>
          <w:sz w:val="24"/>
          <w:szCs w:val="24"/>
        </w:rPr>
        <w:t>er person. Observe fig 1.2 below:</w:t>
      </w:r>
    </w:p>
    <w:p w:rsidR="00D86F11" w:rsidRPr="00263053" w:rsidRDefault="002D2887" w:rsidP="0099760F">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noProof/>
          <w:color w:val="000000" w:themeColor="text1"/>
          <w:sz w:val="24"/>
          <w:szCs w:val="24"/>
        </w:rPr>
        <w:lastRenderedPageBreak/>
        <w:drawing>
          <wp:anchor distT="0" distB="0" distL="114300" distR="114300" simplePos="0" relativeHeight="251659264" behindDoc="0" locked="0" layoutInCell="1" allowOverlap="1" wp14:anchorId="17BB5C0D" wp14:editId="09C72276">
            <wp:simplePos x="0" y="0"/>
            <wp:positionH relativeFrom="margin">
              <wp:align>left</wp:align>
            </wp:positionH>
            <wp:positionV relativeFrom="paragraph">
              <wp:posOffset>9525</wp:posOffset>
            </wp:positionV>
            <wp:extent cx="5419725" cy="4419600"/>
            <wp:effectExtent l="0" t="0" r="9525" b="0"/>
            <wp:wrapSquare wrapText="bothSides"/>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14:sizeRelH relativeFrom="margin">
              <wp14:pctWidth>0</wp14:pctWidth>
            </wp14:sizeRelH>
            <wp14:sizeRelV relativeFrom="margin">
              <wp14:pctHeight>0</wp14:pctHeight>
            </wp14:sizeRelV>
          </wp:anchor>
        </w:drawing>
      </w:r>
      <w:r w:rsidR="0099760F" w:rsidRPr="00263053">
        <w:rPr>
          <w:rFonts w:ascii="Times New Roman" w:hAnsi="Times New Roman" w:cs="Times New Roman"/>
          <w:color w:val="000000" w:themeColor="text1"/>
          <w:sz w:val="24"/>
          <w:szCs w:val="24"/>
        </w:rPr>
        <w:t>Fig 1.2</w:t>
      </w:r>
    </w:p>
    <w:p w:rsidR="004E36B5" w:rsidRPr="00263053" w:rsidRDefault="004E36B5" w:rsidP="003666D8">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 xml:space="preserve">From the above figure, it is evident that the </w:t>
      </w:r>
      <w:r w:rsidRPr="00263053">
        <w:rPr>
          <w:rFonts w:ascii="Times New Roman" w:hAnsi="Times New Roman" w:cs="Times New Roman"/>
          <w:color w:val="000000" w:themeColor="text1"/>
          <w:sz w:val="24"/>
          <w:szCs w:val="24"/>
        </w:rPr>
        <w:t>world’s</w:t>
      </w:r>
      <w:r w:rsidRPr="00263053">
        <w:rPr>
          <w:rFonts w:ascii="Times New Roman" w:hAnsi="Times New Roman" w:cs="Times New Roman"/>
          <w:color w:val="000000" w:themeColor="text1"/>
          <w:sz w:val="24"/>
          <w:szCs w:val="24"/>
        </w:rPr>
        <w:t xml:space="preserve"> top 10 coffee consuming countries are in Europe while the leading producers of coffee are in the developing nations, which have the right weather to grow and manage coffee.</w:t>
      </w:r>
    </w:p>
    <w:p w:rsidR="004E36B5" w:rsidRPr="00263053" w:rsidRDefault="004E36B5" w:rsidP="003666D8">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According to the Fain (2019), the coffee supply chain is quite complicated since the beans pass through the hands of growers to traders, processors to exporters, and from roasters to retailers. This complex chain plays a crucial role in the shifts of the price of coffee and hence posing more significant consequences to farmers, customers as well as producers.</w:t>
      </w:r>
      <w:r w:rsidR="00694277" w:rsidRPr="00263053">
        <w:rPr>
          <w:rFonts w:ascii="Times New Roman" w:hAnsi="Times New Roman" w:cs="Times New Roman"/>
          <w:color w:val="000000" w:themeColor="text1"/>
          <w:sz w:val="24"/>
          <w:szCs w:val="24"/>
        </w:rPr>
        <w:t xml:space="preserve"> Fig 1.3 below shows the effects of supply chain on </w:t>
      </w:r>
      <w:r w:rsidR="00905E36" w:rsidRPr="00263053">
        <w:rPr>
          <w:rFonts w:ascii="Times New Roman" w:hAnsi="Times New Roman" w:cs="Times New Roman"/>
          <w:color w:val="000000" w:themeColor="text1"/>
          <w:sz w:val="24"/>
          <w:szCs w:val="24"/>
        </w:rPr>
        <w:t xml:space="preserve">price of </w:t>
      </w:r>
      <w:r w:rsidR="00093348" w:rsidRPr="00263053">
        <w:rPr>
          <w:rFonts w:ascii="Times New Roman" w:hAnsi="Times New Roman" w:cs="Times New Roman"/>
          <w:color w:val="000000" w:themeColor="text1"/>
          <w:sz w:val="24"/>
          <w:szCs w:val="24"/>
        </w:rPr>
        <w:t xml:space="preserve">roasted </w:t>
      </w:r>
      <w:r w:rsidR="00905E36" w:rsidRPr="00263053">
        <w:rPr>
          <w:rFonts w:ascii="Times New Roman" w:hAnsi="Times New Roman" w:cs="Times New Roman"/>
          <w:color w:val="000000" w:themeColor="text1"/>
          <w:sz w:val="24"/>
          <w:szCs w:val="24"/>
        </w:rPr>
        <w:t>coffee in different countries.</w:t>
      </w:r>
    </w:p>
    <w:p w:rsidR="004E36B5" w:rsidRPr="00263053" w:rsidRDefault="004E36B5" w:rsidP="003666D8">
      <w:pPr>
        <w:spacing w:line="480" w:lineRule="auto"/>
        <w:ind w:firstLine="720"/>
        <w:rPr>
          <w:rFonts w:ascii="Times New Roman" w:hAnsi="Times New Roman" w:cs="Times New Roman"/>
          <w:color w:val="000000" w:themeColor="text1"/>
          <w:sz w:val="24"/>
          <w:szCs w:val="24"/>
        </w:rPr>
      </w:pPr>
    </w:p>
    <w:p w:rsidR="0099760F" w:rsidRPr="00263053" w:rsidRDefault="0099760F" w:rsidP="0099760F">
      <w:pPr>
        <w:tabs>
          <w:tab w:val="left" w:pos="2985"/>
        </w:tabs>
        <w:spacing w:line="480" w:lineRule="auto"/>
        <w:ind w:firstLine="720"/>
        <w:jc w:val="center"/>
        <w:rPr>
          <w:rFonts w:ascii="Times New Roman" w:hAnsi="Times New Roman" w:cs="Times New Roman"/>
          <w:color w:val="000000" w:themeColor="text1"/>
          <w:sz w:val="24"/>
          <w:szCs w:val="24"/>
        </w:rPr>
      </w:pPr>
    </w:p>
    <w:p w:rsidR="00D722F4" w:rsidRPr="00263053" w:rsidRDefault="00D722F4" w:rsidP="0099760F">
      <w:pPr>
        <w:tabs>
          <w:tab w:val="left" w:pos="2985"/>
        </w:tabs>
        <w:spacing w:line="480" w:lineRule="auto"/>
        <w:ind w:firstLine="720"/>
        <w:jc w:val="center"/>
        <w:rPr>
          <w:rFonts w:ascii="Times New Roman" w:hAnsi="Times New Roman" w:cs="Times New Roman"/>
          <w:color w:val="000000" w:themeColor="text1"/>
          <w:sz w:val="24"/>
          <w:szCs w:val="24"/>
        </w:rPr>
      </w:pPr>
      <w:r w:rsidRPr="00263053">
        <w:rPr>
          <w:rFonts w:ascii="Times New Roman" w:hAnsi="Times New Roman" w:cs="Times New Roman"/>
          <w:noProof/>
          <w:color w:val="000000" w:themeColor="text1"/>
          <w:sz w:val="24"/>
          <w:szCs w:val="24"/>
        </w:rPr>
        <w:drawing>
          <wp:inline distT="0" distB="0" distL="0" distR="0" wp14:anchorId="3781C423" wp14:editId="084E4032">
            <wp:extent cx="5486400" cy="3200400"/>
            <wp:effectExtent l="0" t="0" r="0"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99760F" w:rsidRPr="00263053" w:rsidRDefault="0099760F" w:rsidP="003666D8">
      <w:pPr>
        <w:spacing w:line="480" w:lineRule="auto"/>
        <w:ind w:firstLine="720"/>
        <w:rPr>
          <w:rFonts w:ascii="Times New Roman" w:hAnsi="Times New Roman" w:cs="Times New Roman"/>
          <w:b/>
          <w:color w:val="000000" w:themeColor="text1"/>
          <w:sz w:val="24"/>
          <w:szCs w:val="24"/>
        </w:rPr>
      </w:pPr>
      <w:r w:rsidRPr="00263053">
        <w:rPr>
          <w:rFonts w:ascii="Times New Roman" w:hAnsi="Times New Roman" w:cs="Times New Roman"/>
          <w:b/>
          <w:color w:val="000000" w:themeColor="text1"/>
          <w:sz w:val="24"/>
          <w:szCs w:val="24"/>
        </w:rPr>
        <w:t>Fig 1.3</w:t>
      </w:r>
    </w:p>
    <w:p w:rsidR="00745151" w:rsidRPr="00263053" w:rsidRDefault="00745151" w:rsidP="003666D8">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Statistics have also affirmed that demand for coffee products is depended on quality. For example, in the UK, coffee consumers are found to pride themselves based on their ability to drink strong coffee. The most popular coffee drinks are consumed in the United Kingdom and are milk-based.</w:t>
      </w:r>
    </w:p>
    <w:p w:rsidR="00745151" w:rsidRPr="00263053" w:rsidRDefault="00745151" w:rsidP="0099760F">
      <w:pPr>
        <w:spacing w:line="480" w:lineRule="auto"/>
        <w:jc w:val="center"/>
        <w:rPr>
          <w:rFonts w:ascii="Times New Roman" w:hAnsi="Times New Roman" w:cs="Times New Roman"/>
          <w:b/>
          <w:color w:val="000000" w:themeColor="text1"/>
          <w:sz w:val="24"/>
          <w:szCs w:val="24"/>
        </w:rPr>
      </w:pPr>
      <w:r w:rsidRPr="00263053">
        <w:rPr>
          <w:rFonts w:ascii="Times New Roman" w:hAnsi="Times New Roman" w:cs="Times New Roman"/>
          <w:b/>
          <w:color w:val="000000" w:themeColor="text1"/>
          <w:sz w:val="24"/>
          <w:szCs w:val="24"/>
        </w:rPr>
        <w:t>Analysis</w:t>
      </w:r>
    </w:p>
    <w:p w:rsidR="00745151" w:rsidRPr="00263053" w:rsidRDefault="00745151" w:rsidP="003666D8">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 xml:space="preserve">In economics, every highly-rated product is expected to be influenced by variations in market forces, and hence, coffee is not exceptional. From the aforementioned statistical findings, it is evident that the demand and supply for coffee had been increasing gradually in the global market (Bejan et al., 2018). Demand for coffee has increased as a result of the growing demand in the emerging nations as per incomes increase. For example, the consumption of coffee in </w:t>
      </w:r>
      <w:r w:rsidRPr="00263053">
        <w:rPr>
          <w:rFonts w:ascii="Times New Roman" w:hAnsi="Times New Roman" w:cs="Times New Roman"/>
          <w:color w:val="000000" w:themeColor="text1"/>
          <w:sz w:val="24"/>
          <w:szCs w:val="24"/>
        </w:rPr>
        <w:lastRenderedPageBreak/>
        <w:t>China has dou</w:t>
      </w:r>
      <w:bookmarkStart w:id="0" w:name="_GoBack"/>
      <w:bookmarkEnd w:id="0"/>
      <w:r w:rsidRPr="00263053">
        <w:rPr>
          <w:rFonts w:ascii="Times New Roman" w:hAnsi="Times New Roman" w:cs="Times New Roman"/>
          <w:color w:val="000000" w:themeColor="text1"/>
          <w:sz w:val="24"/>
          <w:szCs w:val="24"/>
        </w:rPr>
        <w:t xml:space="preserve">bled due to the escalating state of its economy over the last five years (Fain, 2019). Statistical findings have also shown that demand for coffee has mushroomed as a result of an increase in the price of substitute products such as coffee and tea as a result of global warming and other environmental hazards. </w:t>
      </w:r>
    </w:p>
    <w:p w:rsidR="00745151" w:rsidRPr="00263053" w:rsidRDefault="00745151" w:rsidP="003666D8">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In the contrary, supply for coffee in the global market has been a result of stable climatic conditions in less developed countries such as Ethiopia, Uganda, Kenya, and some developed nations such as Brazil and Indonesia. Other factors behind increases coffee supply are the presence of existing high levels of coffee inventories in producer nations, which helps in keeping the chain occupied and unending (Bejan et al., 2018). There is a large number of contemporary countries endowed with pleasant climate and the ability to grow and export coffee. Also, there has been rampant innovations in farming, which has made it easy for companies to accurately process coffee beans (Bejan et al., 2018). Although global warming has become a significant threat to the productivity of coffee, coffee production indeed provides a livelihood to millions for families. Hence, its supply seems to shoot higher with the increase in the global population.</w:t>
      </w:r>
    </w:p>
    <w:p w:rsidR="00745151" w:rsidRPr="00263053" w:rsidRDefault="00745151" w:rsidP="0099760F">
      <w:pPr>
        <w:spacing w:line="480" w:lineRule="auto"/>
        <w:jc w:val="center"/>
        <w:rPr>
          <w:rFonts w:ascii="Times New Roman" w:hAnsi="Times New Roman" w:cs="Times New Roman"/>
          <w:b/>
          <w:color w:val="000000" w:themeColor="text1"/>
          <w:sz w:val="24"/>
          <w:szCs w:val="24"/>
        </w:rPr>
      </w:pPr>
      <w:r w:rsidRPr="00263053">
        <w:rPr>
          <w:rFonts w:ascii="Times New Roman" w:hAnsi="Times New Roman" w:cs="Times New Roman"/>
          <w:b/>
          <w:color w:val="000000" w:themeColor="text1"/>
          <w:sz w:val="24"/>
          <w:szCs w:val="24"/>
        </w:rPr>
        <w:t>Conclusion</w:t>
      </w:r>
    </w:p>
    <w:p w:rsidR="0099760F" w:rsidRPr="00263053" w:rsidRDefault="00745151" w:rsidP="00447AC3">
      <w:pPr>
        <w:spacing w:line="480" w:lineRule="auto"/>
        <w:ind w:firstLine="720"/>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t>In summary, coffee is one of the best tradable and valuable commodities greasing the global economy. Evident from statistics, coffee supports the livelihood of millions of families</w:t>
      </w:r>
      <w:r w:rsidR="004C1E5A" w:rsidRPr="00263053">
        <w:rPr>
          <w:rFonts w:ascii="Times New Roman" w:hAnsi="Times New Roman" w:cs="Times New Roman"/>
          <w:color w:val="000000" w:themeColor="text1"/>
          <w:sz w:val="24"/>
          <w:szCs w:val="24"/>
        </w:rPr>
        <w:t xml:space="preserve"> and hence a lot of effort mu</w:t>
      </w:r>
      <w:r w:rsidR="00263053" w:rsidRPr="00263053">
        <w:rPr>
          <w:rFonts w:ascii="Times New Roman" w:hAnsi="Times New Roman" w:cs="Times New Roman"/>
          <w:color w:val="000000" w:themeColor="text1"/>
          <w:sz w:val="24"/>
          <w:szCs w:val="24"/>
        </w:rPr>
        <w:t>st be made to</w:t>
      </w:r>
      <w:r w:rsidR="004C1E5A" w:rsidRPr="00263053">
        <w:rPr>
          <w:rFonts w:ascii="Times New Roman" w:hAnsi="Times New Roman" w:cs="Times New Roman"/>
          <w:color w:val="000000" w:themeColor="text1"/>
          <w:sz w:val="24"/>
          <w:szCs w:val="24"/>
        </w:rPr>
        <w:t xml:space="preserve"> polish coffee industry so as to enhance profitability f</w:t>
      </w:r>
      <w:r w:rsidR="00263053" w:rsidRPr="00263053">
        <w:rPr>
          <w:rFonts w:ascii="Times New Roman" w:hAnsi="Times New Roman" w:cs="Times New Roman"/>
          <w:color w:val="000000" w:themeColor="text1"/>
          <w:sz w:val="24"/>
          <w:szCs w:val="24"/>
        </w:rPr>
        <w:t>o</w:t>
      </w:r>
      <w:r w:rsidR="004C1E5A" w:rsidRPr="00263053">
        <w:rPr>
          <w:rFonts w:ascii="Times New Roman" w:hAnsi="Times New Roman" w:cs="Times New Roman"/>
          <w:color w:val="000000" w:themeColor="text1"/>
          <w:sz w:val="24"/>
          <w:szCs w:val="24"/>
        </w:rPr>
        <w:t>r both nations and farmers</w:t>
      </w:r>
      <w:r w:rsidRPr="00263053">
        <w:rPr>
          <w:rFonts w:ascii="Times New Roman" w:hAnsi="Times New Roman" w:cs="Times New Roman"/>
          <w:color w:val="000000" w:themeColor="text1"/>
          <w:sz w:val="24"/>
          <w:szCs w:val="24"/>
        </w:rPr>
        <w:t xml:space="preserve">. </w:t>
      </w:r>
      <w:r w:rsidR="004C1E5A" w:rsidRPr="00263053">
        <w:rPr>
          <w:rFonts w:ascii="Times New Roman" w:hAnsi="Times New Roman" w:cs="Times New Roman"/>
          <w:color w:val="000000" w:themeColor="text1"/>
          <w:sz w:val="24"/>
          <w:szCs w:val="24"/>
        </w:rPr>
        <w:t>Coffee</w:t>
      </w:r>
      <w:r w:rsidRPr="00263053">
        <w:rPr>
          <w:rFonts w:ascii="Times New Roman" w:hAnsi="Times New Roman" w:cs="Times New Roman"/>
          <w:color w:val="000000" w:themeColor="text1"/>
          <w:sz w:val="24"/>
          <w:szCs w:val="24"/>
        </w:rPr>
        <w:t xml:space="preserve"> is among the first exports in developing nations and imports to developed countries, and hence its relevance in the global economy can never be estimated (Bejan et al., 2018). The significant determinants of supply and demand for coffee in the worldwide market include emerging nations due to per capita incomes rise and the increasing prices for coffee substitutes such as cocoa and tea. On the other hand, supply determinants for </w:t>
      </w:r>
      <w:r w:rsidRPr="00263053">
        <w:rPr>
          <w:rFonts w:ascii="Times New Roman" w:hAnsi="Times New Roman" w:cs="Times New Roman"/>
          <w:color w:val="000000" w:themeColor="text1"/>
          <w:sz w:val="24"/>
          <w:szCs w:val="24"/>
        </w:rPr>
        <w:lastRenderedPageBreak/>
        <w:t>coffee include predictable climatic conditions, a large number of countries producing coffee, high levels of coffee inventories, in addition to investment and productivity in coffee production in the major coffee farming countries.</w:t>
      </w: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263053" w:rsidRPr="00263053" w:rsidRDefault="00263053" w:rsidP="00447AC3">
      <w:pPr>
        <w:spacing w:line="480" w:lineRule="auto"/>
        <w:ind w:firstLine="720"/>
        <w:rPr>
          <w:rFonts w:ascii="Times New Roman" w:hAnsi="Times New Roman" w:cs="Times New Roman"/>
          <w:color w:val="000000" w:themeColor="text1"/>
          <w:sz w:val="24"/>
          <w:szCs w:val="24"/>
        </w:rPr>
      </w:pPr>
    </w:p>
    <w:p w:rsidR="007944EA" w:rsidRPr="00263053" w:rsidRDefault="007944EA" w:rsidP="0099760F">
      <w:pPr>
        <w:spacing w:line="480" w:lineRule="auto"/>
        <w:jc w:val="center"/>
        <w:rPr>
          <w:rFonts w:ascii="Times New Roman" w:hAnsi="Times New Roman" w:cs="Times New Roman"/>
          <w:color w:val="000000" w:themeColor="text1"/>
          <w:sz w:val="24"/>
          <w:szCs w:val="24"/>
        </w:rPr>
      </w:pPr>
      <w:r w:rsidRPr="00263053">
        <w:rPr>
          <w:rFonts w:ascii="Times New Roman" w:hAnsi="Times New Roman" w:cs="Times New Roman"/>
          <w:color w:val="000000" w:themeColor="text1"/>
          <w:sz w:val="24"/>
          <w:szCs w:val="24"/>
        </w:rPr>
        <w:lastRenderedPageBreak/>
        <w:t>References</w:t>
      </w:r>
    </w:p>
    <w:p w:rsidR="0099760F" w:rsidRPr="00263053" w:rsidRDefault="0099760F" w:rsidP="0099760F">
      <w:pPr>
        <w:spacing w:line="480" w:lineRule="auto"/>
        <w:ind w:left="720" w:hanging="720"/>
        <w:rPr>
          <w:rFonts w:ascii="Times New Roman" w:hAnsi="Times New Roman" w:cs="Times New Roman"/>
          <w:color w:val="000000" w:themeColor="text1"/>
          <w:sz w:val="24"/>
          <w:szCs w:val="24"/>
          <w:shd w:val="clear" w:color="auto" w:fill="FFFFFF"/>
        </w:rPr>
      </w:pPr>
      <w:r w:rsidRPr="00263053">
        <w:rPr>
          <w:rFonts w:ascii="Times New Roman" w:hAnsi="Times New Roman" w:cs="Times New Roman"/>
          <w:color w:val="000000" w:themeColor="text1"/>
          <w:sz w:val="24"/>
          <w:szCs w:val="24"/>
          <w:shd w:val="clear" w:color="auto" w:fill="FFFFFF"/>
        </w:rPr>
        <w:t xml:space="preserve">Bejan, V., </w:t>
      </w:r>
      <w:proofErr w:type="spellStart"/>
      <w:r w:rsidRPr="00263053">
        <w:rPr>
          <w:rFonts w:ascii="Times New Roman" w:hAnsi="Times New Roman" w:cs="Times New Roman"/>
          <w:color w:val="000000" w:themeColor="text1"/>
          <w:sz w:val="24"/>
          <w:szCs w:val="24"/>
          <w:shd w:val="clear" w:color="auto" w:fill="FFFFFF"/>
        </w:rPr>
        <w:t>Colaner</w:t>
      </w:r>
      <w:proofErr w:type="spellEnd"/>
      <w:r w:rsidRPr="00263053">
        <w:rPr>
          <w:rFonts w:ascii="Times New Roman" w:hAnsi="Times New Roman" w:cs="Times New Roman"/>
          <w:color w:val="000000" w:themeColor="text1"/>
          <w:sz w:val="24"/>
          <w:szCs w:val="24"/>
          <w:shd w:val="clear" w:color="auto" w:fill="FFFFFF"/>
        </w:rPr>
        <w:t xml:space="preserve">, N., Le, Q., &amp; </w:t>
      </w:r>
      <w:proofErr w:type="spellStart"/>
      <w:r w:rsidRPr="00263053">
        <w:rPr>
          <w:rFonts w:ascii="Times New Roman" w:hAnsi="Times New Roman" w:cs="Times New Roman"/>
          <w:color w:val="000000" w:themeColor="text1"/>
          <w:sz w:val="24"/>
          <w:szCs w:val="24"/>
          <w:shd w:val="clear" w:color="auto" w:fill="FFFFFF"/>
        </w:rPr>
        <w:t>Wydick</w:t>
      </w:r>
      <w:proofErr w:type="spellEnd"/>
      <w:r w:rsidRPr="00263053">
        <w:rPr>
          <w:rFonts w:ascii="Times New Roman" w:hAnsi="Times New Roman" w:cs="Times New Roman"/>
          <w:color w:val="000000" w:themeColor="text1"/>
          <w:sz w:val="24"/>
          <w:szCs w:val="24"/>
          <w:shd w:val="clear" w:color="auto" w:fill="FFFFFF"/>
        </w:rPr>
        <w:t>, J. (2018). </w:t>
      </w:r>
      <w:r w:rsidRPr="00263053">
        <w:rPr>
          <w:rFonts w:ascii="Times New Roman" w:hAnsi="Times New Roman" w:cs="Times New Roman"/>
          <w:i/>
          <w:iCs/>
          <w:color w:val="000000" w:themeColor="text1"/>
          <w:sz w:val="24"/>
          <w:szCs w:val="24"/>
          <w:shd w:val="clear" w:color="auto" w:fill="FFFFFF"/>
        </w:rPr>
        <w:t>Potential Impacts of Climate Change on Global Production of Coffee: A Panel Data Analysis of Exporting Countries</w:t>
      </w:r>
      <w:r w:rsidRPr="00263053">
        <w:rPr>
          <w:rFonts w:ascii="Times New Roman" w:hAnsi="Times New Roman" w:cs="Times New Roman"/>
          <w:color w:val="000000" w:themeColor="text1"/>
          <w:sz w:val="24"/>
          <w:szCs w:val="24"/>
          <w:shd w:val="clear" w:color="auto" w:fill="FFFFFF"/>
        </w:rPr>
        <w:t>. Working paper, Department of Economics, Albers School of Business, Seattle University, Seattle, Washington.</w:t>
      </w:r>
    </w:p>
    <w:p w:rsidR="0099760F" w:rsidRPr="00263053" w:rsidRDefault="0099760F" w:rsidP="0099760F">
      <w:pPr>
        <w:spacing w:line="480" w:lineRule="auto"/>
        <w:ind w:left="720" w:hanging="720"/>
        <w:rPr>
          <w:rFonts w:ascii="Times New Roman" w:hAnsi="Times New Roman" w:cs="Times New Roman"/>
          <w:color w:val="000000" w:themeColor="text1"/>
          <w:sz w:val="24"/>
          <w:szCs w:val="24"/>
          <w:shd w:val="clear" w:color="auto" w:fill="FFFFFF"/>
        </w:rPr>
      </w:pPr>
      <w:r w:rsidRPr="00263053">
        <w:rPr>
          <w:rFonts w:ascii="Times New Roman" w:hAnsi="Times New Roman" w:cs="Times New Roman"/>
          <w:color w:val="000000" w:themeColor="text1"/>
          <w:sz w:val="24"/>
          <w:szCs w:val="24"/>
          <w:shd w:val="clear" w:color="auto" w:fill="FFFFFF"/>
        </w:rPr>
        <w:t>Fain, G. S. (2019). Globally networked on-demand coffee blending and brewing system.</w:t>
      </w:r>
      <w:r w:rsidRPr="00263053">
        <w:rPr>
          <w:rFonts w:ascii="Times New Roman" w:hAnsi="Times New Roman" w:cs="Times New Roman"/>
          <w:color w:val="000000" w:themeColor="text1"/>
          <w:sz w:val="24"/>
          <w:szCs w:val="24"/>
          <w:shd w:val="clear" w:color="auto" w:fill="FFFFFF"/>
        </w:rPr>
        <w:t xml:space="preserve"> </w:t>
      </w:r>
      <w:r w:rsidRPr="00263053">
        <w:rPr>
          <w:rFonts w:ascii="Times New Roman" w:hAnsi="Times New Roman" w:cs="Times New Roman"/>
          <w:i/>
          <w:iCs/>
          <w:color w:val="000000" w:themeColor="text1"/>
          <w:sz w:val="24"/>
          <w:szCs w:val="24"/>
          <w:shd w:val="clear" w:color="auto" w:fill="FFFFFF"/>
        </w:rPr>
        <w:t>U.S. Patent No. 10,362,894</w:t>
      </w:r>
      <w:r w:rsidRPr="00263053">
        <w:rPr>
          <w:rFonts w:ascii="Times New Roman" w:hAnsi="Times New Roman" w:cs="Times New Roman"/>
          <w:color w:val="000000" w:themeColor="text1"/>
          <w:sz w:val="24"/>
          <w:szCs w:val="24"/>
          <w:shd w:val="clear" w:color="auto" w:fill="FFFFFF"/>
        </w:rPr>
        <w:t>. Washington, DC: U.S. Patent and Trademark Office.</w:t>
      </w:r>
    </w:p>
    <w:p w:rsidR="0099760F" w:rsidRPr="00263053" w:rsidRDefault="0099760F" w:rsidP="0099760F">
      <w:pPr>
        <w:spacing w:line="480" w:lineRule="auto"/>
        <w:ind w:left="720" w:hanging="720"/>
        <w:rPr>
          <w:rFonts w:ascii="Times New Roman" w:hAnsi="Times New Roman" w:cs="Times New Roman"/>
          <w:color w:val="000000" w:themeColor="text1"/>
          <w:sz w:val="24"/>
          <w:szCs w:val="24"/>
          <w:shd w:val="clear" w:color="auto" w:fill="FFFFFF"/>
        </w:rPr>
      </w:pPr>
      <w:r w:rsidRPr="00263053">
        <w:rPr>
          <w:rFonts w:ascii="Times New Roman" w:hAnsi="Times New Roman" w:cs="Times New Roman"/>
          <w:color w:val="000000" w:themeColor="text1"/>
          <w:sz w:val="24"/>
          <w:szCs w:val="24"/>
          <w:shd w:val="clear" w:color="auto" w:fill="FFFFFF"/>
        </w:rPr>
        <w:t>Mohan, S., Gemech, F., Reeves, A., &amp; Struthers, J. (2016). The welfare effects of coffee price volatility for Ethiopian coffee producers. </w:t>
      </w:r>
      <w:r w:rsidRPr="00263053">
        <w:rPr>
          <w:rFonts w:ascii="Times New Roman" w:hAnsi="Times New Roman" w:cs="Times New Roman"/>
          <w:i/>
          <w:iCs/>
          <w:color w:val="000000" w:themeColor="text1"/>
          <w:sz w:val="24"/>
          <w:szCs w:val="24"/>
          <w:shd w:val="clear" w:color="auto" w:fill="FFFFFF"/>
        </w:rPr>
        <w:t>Qualitative Research in Financial Markets</w:t>
      </w:r>
      <w:r w:rsidRPr="00263053">
        <w:rPr>
          <w:rFonts w:ascii="Times New Roman" w:hAnsi="Times New Roman" w:cs="Times New Roman"/>
          <w:color w:val="000000" w:themeColor="text1"/>
          <w:sz w:val="24"/>
          <w:szCs w:val="24"/>
          <w:shd w:val="clear" w:color="auto" w:fill="FFFFFF"/>
        </w:rPr>
        <w:t>, </w:t>
      </w:r>
      <w:r w:rsidRPr="00263053">
        <w:rPr>
          <w:rFonts w:ascii="Times New Roman" w:hAnsi="Times New Roman" w:cs="Times New Roman"/>
          <w:i/>
          <w:iCs/>
          <w:color w:val="000000" w:themeColor="text1"/>
          <w:sz w:val="24"/>
          <w:szCs w:val="24"/>
          <w:shd w:val="clear" w:color="auto" w:fill="FFFFFF"/>
        </w:rPr>
        <w:t>8</w:t>
      </w:r>
      <w:r w:rsidRPr="00263053">
        <w:rPr>
          <w:rFonts w:ascii="Times New Roman" w:hAnsi="Times New Roman" w:cs="Times New Roman"/>
          <w:color w:val="000000" w:themeColor="text1"/>
          <w:sz w:val="24"/>
          <w:szCs w:val="24"/>
          <w:shd w:val="clear" w:color="auto" w:fill="FFFFFF"/>
        </w:rPr>
        <w:t>(4), 288-304.</w:t>
      </w:r>
    </w:p>
    <w:p w:rsidR="0099760F" w:rsidRPr="00263053" w:rsidRDefault="0099760F" w:rsidP="0099760F">
      <w:pPr>
        <w:spacing w:line="480" w:lineRule="auto"/>
        <w:ind w:left="720" w:hanging="720"/>
        <w:rPr>
          <w:rFonts w:ascii="Times New Roman" w:hAnsi="Times New Roman" w:cs="Times New Roman"/>
          <w:color w:val="000000" w:themeColor="text1"/>
          <w:sz w:val="24"/>
          <w:szCs w:val="24"/>
        </w:rPr>
      </w:pPr>
      <w:proofErr w:type="spellStart"/>
      <w:r w:rsidRPr="00263053">
        <w:rPr>
          <w:rFonts w:ascii="Times New Roman" w:hAnsi="Times New Roman" w:cs="Times New Roman"/>
          <w:color w:val="000000" w:themeColor="text1"/>
          <w:sz w:val="24"/>
          <w:szCs w:val="24"/>
          <w:shd w:val="clear" w:color="auto" w:fill="FFFFFF"/>
        </w:rPr>
        <w:t>Pião</w:t>
      </w:r>
      <w:proofErr w:type="spellEnd"/>
      <w:r w:rsidRPr="00263053">
        <w:rPr>
          <w:rFonts w:ascii="Times New Roman" w:hAnsi="Times New Roman" w:cs="Times New Roman"/>
          <w:color w:val="000000" w:themeColor="text1"/>
          <w:sz w:val="24"/>
          <w:szCs w:val="24"/>
          <w:shd w:val="clear" w:color="auto" w:fill="FFFFFF"/>
        </w:rPr>
        <w:t xml:space="preserve">, R. S., da Fonseca, L. S., de </w:t>
      </w:r>
      <w:proofErr w:type="spellStart"/>
      <w:r w:rsidRPr="00263053">
        <w:rPr>
          <w:rFonts w:ascii="Times New Roman" w:hAnsi="Times New Roman" w:cs="Times New Roman"/>
          <w:color w:val="000000" w:themeColor="text1"/>
          <w:sz w:val="24"/>
          <w:szCs w:val="24"/>
          <w:shd w:val="clear" w:color="auto" w:fill="FFFFFF"/>
        </w:rPr>
        <w:t>Carvalho</w:t>
      </w:r>
      <w:proofErr w:type="spellEnd"/>
      <w:r w:rsidRPr="00263053">
        <w:rPr>
          <w:rFonts w:ascii="Times New Roman" w:hAnsi="Times New Roman" w:cs="Times New Roman"/>
          <w:color w:val="000000" w:themeColor="text1"/>
          <w:sz w:val="24"/>
          <w:szCs w:val="24"/>
          <w:shd w:val="clear" w:color="auto" w:fill="FFFFFF"/>
        </w:rPr>
        <w:t xml:space="preserve"> </w:t>
      </w:r>
      <w:proofErr w:type="spellStart"/>
      <w:r w:rsidRPr="00263053">
        <w:rPr>
          <w:rFonts w:ascii="Times New Roman" w:hAnsi="Times New Roman" w:cs="Times New Roman"/>
          <w:color w:val="000000" w:themeColor="text1"/>
          <w:sz w:val="24"/>
          <w:szCs w:val="24"/>
          <w:shd w:val="clear" w:color="auto" w:fill="FFFFFF"/>
        </w:rPr>
        <w:t>Januário</w:t>
      </w:r>
      <w:proofErr w:type="spellEnd"/>
      <w:r w:rsidRPr="00263053">
        <w:rPr>
          <w:rFonts w:ascii="Times New Roman" w:hAnsi="Times New Roman" w:cs="Times New Roman"/>
          <w:color w:val="000000" w:themeColor="text1"/>
          <w:sz w:val="24"/>
          <w:szCs w:val="24"/>
          <w:shd w:val="clear" w:color="auto" w:fill="FFFFFF"/>
        </w:rPr>
        <w:t xml:space="preserve">, É., &amp; </w:t>
      </w:r>
      <w:proofErr w:type="spellStart"/>
      <w:r w:rsidRPr="00263053">
        <w:rPr>
          <w:rFonts w:ascii="Times New Roman" w:hAnsi="Times New Roman" w:cs="Times New Roman"/>
          <w:color w:val="000000" w:themeColor="text1"/>
          <w:sz w:val="24"/>
          <w:szCs w:val="24"/>
          <w:shd w:val="clear" w:color="auto" w:fill="FFFFFF"/>
        </w:rPr>
        <w:t>Saes</w:t>
      </w:r>
      <w:proofErr w:type="spellEnd"/>
      <w:r w:rsidRPr="00263053">
        <w:rPr>
          <w:rFonts w:ascii="Times New Roman" w:hAnsi="Times New Roman" w:cs="Times New Roman"/>
          <w:color w:val="000000" w:themeColor="text1"/>
          <w:sz w:val="24"/>
          <w:szCs w:val="24"/>
          <w:shd w:val="clear" w:color="auto" w:fill="FFFFFF"/>
        </w:rPr>
        <w:t>, M. S. M. (2020). Certification: Facts, challenges, and the future. In </w:t>
      </w:r>
      <w:r w:rsidRPr="00263053">
        <w:rPr>
          <w:rFonts w:ascii="Times New Roman" w:hAnsi="Times New Roman" w:cs="Times New Roman"/>
          <w:i/>
          <w:iCs/>
          <w:color w:val="000000" w:themeColor="text1"/>
          <w:sz w:val="24"/>
          <w:szCs w:val="24"/>
          <w:shd w:val="clear" w:color="auto" w:fill="FFFFFF"/>
        </w:rPr>
        <w:t>Coffee Consumption and Industry Strategies in Brazil</w:t>
      </w:r>
      <w:r w:rsidRPr="00263053">
        <w:rPr>
          <w:rFonts w:ascii="Times New Roman" w:hAnsi="Times New Roman" w:cs="Times New Roman"/>
          <w:color w:val="000000" w:themeColor="text1"/>
          <w:sz w:val="24"/>
          <w:szCs w:val="24"/>
          <w:shd w:val="clear" w:color="auto" w:fill="FFFFFF"/>
        </w:rPr>
        <w:t xml:space="preserve"> (pp. 109-123). </w:t>
      </w:r>
      <w:proofErr w:type="spellStart"/>
      <w:r w:rsidRPr="00263053">
        <w:rPr>
          <w:rFonts w:ascii="Times New Roman" w:hAnsi="Times New Roman" w:cs="Times New Roman"/>
          <w:color w:val="000000" w:themeColor="text1"/>
          <w:sz w:val="24"/>
          <w:szCs w:val="24"/>
          <w:shd w:val="clear" w:color="auto" w:fill="FFFFFF"/>
        </w:rPr>
        <w:t>Woodhead</w:t>
      </w:r>
      <w:proofErr w:type="spellEnd"/>
      <w:r w:rsidRPr="00263053">
        <w:rPr>
          <w:rFonts w:ascii="Times New Roman" w:hAnsi="Times New Roman" w:cs="Times New Roman"/>
          <w:color w:val="000000" w:themeColor="text1"/>
          <w:sz w:val="24"/>
          <w:szCs w:val="24"/>
          <w:shd w:val="clear" w:color="auto" w:fill="FFFFFF"/>
        </w:rPr>
        <w:t xml:space="preserve"> Publishing.</w:t>
      </w:r>
    </w:p>
    <w:p w:rsidR="007944EA" w:rsidRPr="00263053" w:rsidRDefault="007944EA" w:rsidP="003666D8">
      <w:pPr>
        <w:spacing w:line="480" w:lineRule="auto"/>
        <w:ind w:firstLine="720"/>
        <w:rPr>
          <w:rFonts w:ascii="Times New Roman" w:hAnsi="Times New Roman" w:cs="Times New Roman"/>
          <w:color w:val="000000" w:themeColor="text1"/>
          <w:sz w:val="24"/>
          <w:szCs w:val="24"/>
        </w:rPr>
      </w:pPr>
    </w:p>
    <w:sectPr w:rsidR="007944EA" w:rsidRPr="00263053" w:rsidSect="003666D8">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2158" w:rsidRDefault="00AD2158" w:rsidP="003666D8">
      <w:pPr>
        <w:spacing w:after="0" w:line="240" w:lineRule="auto"/>
      </w:pPr>
      <w:r>
        <w:separator/>
      </w:r>
    </w:p>
  </w:endnote>
  <w:endnote w:type="continuationSeparator" w:id="0">
    <w:p w:rsidR="00AD2158" w:rsidRDefault="00AD2158" w:rsidP="003666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2158" w:rsidRDefault="00AD2158" w:rsidP="003666D8">
      <w:pPr>
        <w:spacing w:after="0" w:line="240" w:lineRule="auto"/>
      </w:pPr>
      <w:r>
        <w:separator/>
      </w:r>
    </w:p>
  </w:footnote>
  <w:footnote w:type="continuationSeparator" w:id="0">
    <w:p w:rsidR="00AD2158" w:rsidRDefault="00AD2158" w:rsidP="003666D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6D8" w:rsidRPr="003666D8" w:rsidRDefault="003666D8">
    <w:pPr>
      <w:pStyle w:val="Header"/>
      <w:rPr>
        <w:rFonts w:ascii="Times New Roman" w:hAnsi="Times New Roman" w:cs="Times New Roman"/>
        <w:sz w:val="24"/>
        <w:szCs w:val="24"/>
      </w:rPr>
    </w:pPr>
    <w:r w:rsidRPr="003666D8">
      <w:rPr>
        <w:rFonts w:ascii="Times New Roman" w:hAnsi="Times New Roman" w:cs="Times New Roman"/>
        <w:sz w:val="24"/>
        <w:szCs w:val="24"/>
      </w:rPr>
      <w:t>DEMAND AND SUPPLY FOR COFFEE</w:t>
    </w:r>
    <w:r w:rsidRPr="003666D8">
      <w:rPr>
        <w:rFonts w:ascii="Times New Roman" w:hAnsi="Times New Roman" w:cs="Times New Roman"/>
        <w:sz w:val="24"/>
        <w:szCs w:val="24"/>
      </w:rPr>
      <w:t xml:space="preserve"> </w:t>
    </w:r>
    <w:r w:rsidRPr="003666D8">
      <w:rPr>
        <w:rFonts w:ascii="Times New Roman" w:hAnsi="Times New Roman" w:cs="Times New Roman"/>
        <w:sz w:val="24"/>
        <w:szCs w:val="24"/>
      </w:rPr>
      <w:tab/>
    </w:r>
    <w:r w:rsidRPr="003666D8">
      <w:rPr>
        <w:rFonts w:ascii="Times New Roman" w:hAnsi="Times New Roman" w:cs="Times New Roman"/>
        <w:sz w:val="24"/>
        <w:szCs w:val="24"/>
      </w:rPr>
      <w:tab/>
    </w:r>
    <w:sdt>
      <w:sdtPr>
        <w:rPr>
          <w:rFonts w:ascii="Times New Roman" w:hAnsi="Times New Roman" w:cs="Times New Roman"/>
          <w:sz w:val="24"/>
          <w:szCs w:val="24"/>
        </w:rPr>
        <w:id w:val="1975327838"/>
        <w:docPartObj>
          <w:docPartGallery w:val="Page Numbers (Top of Page)"/>
          <w:docPartUnique/>
        </w:docPartObj>
      </w:sdtPr>
      <w:sdtEndPr>
        <w:rPr>
          <w:noProof/>
        </w:rPr>
      </w:sdtEndPr>
      <w:sdtContent>
        <w:r w:rsidRPr="003666D8">
          <w:rPr>
            <w:rFonts w:ascii="Times New Roman" w:hAnsi="Times New Roman" w:cs="Times New Roman"/>
            <w:sz w:val="24"/>
            <w:szCs w:val="24"/>
          </w:rPr>
          <w:fldChar w:fldCharType="begin"/>
        </w:r>
        <w:r w:rsidRPr="003666D8">
          <w:rPr>
            <w:rFonts w:ascii="Times New Roman" w:hAnsi="Times New Roman" w:cs="Times New Roman"/>
            <w:sz w:val="24"/>
            <w:szCs w:val="24"/>
          </w:rPr>
          <w:instrText xml:space="preserve"> PAGE   \* MERGEFORMAT </w:instrText>
        </w:r>
        <w:r w:rsidRPr="003666D8">
          <w:rPr>
            <w:rFonts w:ascii="Times New Roman" w:hAnsi="Times New Roman" w:cs="Times New Roman"/>
            <w:sz w:val="24"/>
            <w:szCs w:val="24"/>
          </w:rPr>
          <w:fldChar w:fldCharType="separate"/>
        </w:r>
        <w:r w:rsidR="005D4C22">
          <w:rPr>
            <w:rFonts w:ascii="Times New Roman" w:hAnsi="Times New Roman" w:cs="Times New Roman"/>
            <w:noProof/>
            <w:sz w:val="24"/>
            <w:szCs w:val="24"/>
          </w:rPr>
          <w:t>9</w:t>
        </w:r>
        <w:r w:rsidRPr="003666D8">
          <w:rPr>
            <w:rFonts w:ascii="Times New Roman" w:hAnsi="Times New Roman" w:cs="Times New Roman"/>
            <w:noProof/>
            <w:sz w:val="24"/>
            <w:szCs w:val="24"/>
          </w:rPr>
          <w:fldChar w:fldCharType="end"/>
        </w:r>
      </w:sdtContent>
    </w:sdt>
  </w:p>
  <w:p w:rsidR="003666D8" w:rsidRPr="003666D8" w:rsidRDefault="003666D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666D8" w:rsidRPr="003666D8" w:rsidRDefault="003666D8" w:rsidP="003666D8">
    <w:pPr>
      <w:spacing w:line="480" w:lineRule="auto"/>
      <w:rPr>
        <w:rFonts w:ascii="Times New Roman" w:hAnsi="Times New Roman" w:cs="Times New Roman"/>
        <w:sz w:val="24"/>
        <w:szCs w:val="24"/>
      </w:rPr>
    </w:pPr>
    <w:r w:rsidRPr="003666D8">
      <w:rPr>
        <w:rFonts w:ascii="Times New Roman" w:hAnsi="Times New Roman" w:cs="Times New Roman"/>
        <w:sz w:val="24"/>
        <w:szCs w:val="24"/>
      </w:rPr>
      <w:t>Running head: DEMAND AND SUPPLY FOR COFFEE</w:t>
    </w:r>
    <w:r w:rsidRPr="003666D8">
      <w:rPr>
        <w:rFonts w:ascii="Times New Roman" w:hAnsi="Times New Roman" w:cs="Times New Roman"/>
        <w:sz w:val="24"/>
        <w:szCs w:val="24"/>
      </w:rPr>
      <w:tab/>
    </w:r>
    <w:r w:rsidRPr="003666D8">
      <w:rPr>
        <w:rFonts w:ascii="Times New Roman" w:hAnsi="Times New Roman" w:cs="Times New Roman"/>
        <w:sz w:val="24"/>
        <w:szCs w:val="24"/>
      </w:rPr>
      <w:tab/>
    </w:r>
    <w:r w:rsidRPr="003666D8">
      <w:rPr>
        <w:rFonts w:ascii="Times New Roman" w:hAnsi="Times New Roman" w:cs="Times New Roman"/>
        <w:sz w:val="24"/>
        <w:szCs w:val="24"/>
      </w:rPr>
      <w:tab/>
    </w:r>
    <w:r w:rsidRPr="003666D8">
      <w:rPr>
        <w:rFonts w:ascii="Times New Roman" w:hAnsi="Times New Roman" w:cs="Times New Roman"/>
        <w:sz w:val="24"/>
        <w:szCs w:val="24"/>
      </w:rPr>
      <w:tab/>
      <w:t xml:space="preserve">    </w:t>
    </w:r>
    <w:r>
      <w:rPr>
        <w:rFonts w:ascii="Times New Roman" w:hAnsi="Times New Roman" w:cs="Times New Roman"/>
        <w:sz w:val="24"/>
        <w:szCs w:val="24"/>
      </w:rPr>
      <w:t xml:space="preserve">         </w:t>
    </w:r>
    <w:r w:rsidRPr="003666D8">
      <w:rPr>
        <w:rFonts w:ascii="Times New Roman" w:hAnsi="Times New Roman" w:cs="Times New Roman"/>
        <w:sz w:val="24"/>
        <w:szCs w:val="24"/>
      </w:rPr>
      <w:t xml:space="preserve">   </w:t>
    </w:r>
    <w:sdt>
      <w:sdtPr>
        <w:rPr>
          <w:rFonts w:ascii="Times New Roman" w:hAnsi="Times New Roman" w:cs="Times New Roman"/>
          <w:sz w:val="24"/>
          <w:szCs w:val="24"/>
        </w:rPr>
        <w:id w:val="946580992"/>
        <w:docPartObj>
          <w:docPartGallery w:val="Page Numbers (Top of Page)"/>
          <w:docPartUnique/>
        </w:docPartObj>
      </w:sdtPr>
      <w:sdtEndPr>
        <w:rPr>
          <w:noProof/>
        </w:rPr>
      </w:sdtEndPr>
      <w:sdtContent>
        <w:r w:rsidRPr="003666D8">
          <w:rPr>
            <w:rFonts w:ascii="Times New Roman" w:hAnsi="Times New Roman" w:cs="Times New Roman"/>
            <w:sz w:val="24"/>
            <w:szCs w:val="24"/>
          </w:rPr>
          <w:fldChar w:fldCharType="begin"/>
        </w:r>
        <w:r w:rsidRPr="003666D8">
          <w:rPr>
            <w:rFonts w:ascii="Times New Roman" w:hAnsi="Times New Roman" w:cs="Times New Roman"/>
            <w:sz w:val="24"/>
            <w:szCs w:val="24"/>
          </w:rPr>
          <w:instrText xml:space="preserve"> PAGE   \* MERGEFORMAT </w:instrText>
        </w:r>
        <w:r w:rsidRPr="003666D8">
          <w:rPr>
            <w:rFonts w:ascii="Times New Roman" w:hAnsi="Times New Roman" w:cs="Times New Roman"/>
            <w:sz w:val="24"/>
            <w:szCs w:val="24"/>
          </w:rPr>
          <w:fldChar w:fldCharType="separate"/>
        </w:r>
        <w:r w:rsidR="00263053">
          <w:rPr>
            <w:rFonts w:ascii="Times New Roman" w:hAnsi="Times New Roman" w:cs="Times New Roman"/>
            <w:noProof/>
            <w:sz w:val="24"/>
            <w:szCs w:val="24"/>
          </w:rPr>
          <w:t>1</w:t>
        </w:r>
        <w:r w:rsidRPr="003666D8">
          <w:rPr>
            <w:rFonts w:ascii="Times New Roman" w:hAnsi="Times New Roman" w:cs="Times New Roman"/>
            <w:noProof/>
            <w:sz w:val="24"/>
            <w:szCs w:val="24"/>
          </w:rPr>
          <w:fldChar w:fldCharType="end"/>
        </w:r>
      </w:sdtContent>
    </w:sdt>
  </w:p>
  <w:p w:rsidR="003666D8" w:rsidRPr="003666D8" w:rsidRDefault="003666D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427D"/>
    <w:rsid w:val="00084F02"/>
    <w:rsid w:val="00093348"/>
    <w:rsid w:val="001274A5"/>
    <w:rsid w:val="00134D33"/>
    <w:rsid w:val="00154F8E"/>
    <w:rsid w:val="0016097A"/>
    <w:rsid w:val="00263053"/>
    <w:rsid w:val="002D2887"/>
    <w:rsid w:val="002D2CD5"/>
    <w:rsid w:val="002F4BF0"/>
    <w:rsid w:val="003666D8"/>
    <w:rsid w:val="00372744"/>
    <w:rsid w:val="00382CCB"/>
    <w:rsid w:val="0044051E"/>
    <w:rsid w:val="00447AC3"/>
    <w:rsid w:val="004C1E5A"/>
    <w:rsid w:val="004E36B5"/>
    <w:rsid w:val="005773E3"/>
    <w:rsid w:val="005D4C22"/>
    <w:rsid w:val="00694277"/>
    <w:rsid w:val="006C59C2"/>
    <w:rsid w:val="006E434E"/>
    <w:rsid w:val="006F5D89"/>
    <w:rsid w:val="00745151"/>
    <w:rsid w:val="0074592D"/>
    <w:rsid w:val="007944EA"/>
    <w:rsid w:val="007C1860"/>
    <w:rsid w:val="00847335"/>
    <w:rsid w:val="008D491F"/>
    <w:rsid w:val="008F35FB"/>
    <w:rsid w:val="00905E36"/>
    <w:rsid w:val="0099760F"/>
    <w:rsid w:val="00A7427D"/>
    <w:rsid w:val="00AD2158"/>
    <w:rsid w:val="00B1637A"/>
    <w:rsid w:val="00B364B3"/>
    <w:rsid w:val="00B407E3"/>
    <w:rsid w:val="00B71E49"/>
    <w:rsid w:val="00B82354"/>
    <w:rsid w:val="00BE6D68"/>
    <w:rsid w:val="00C763CC"/>
    <w:rsid w:val="00CA0EC9"/>
    <w:rsid w:val="00CD5E85"/>
    <w:rsid w:val="00D03370"/>
    <w:rsid w:val="00D32501"/>
    <w:rsid w:val="00D522E8"/>
    <w:rsid w:val="00D64D90"/>
    <w:rsid w:val="00D722F4"/>
    <w:rsid w:val="00D733C4"/>
    <w:rsid w:val="00D86F11"/>
    <w:rsid w:val="00D9438B"/>
    <w:rsid w:val="00DA62D1"/>
    <w:rsid w:val="00DE0BF0"/>
    <w:rsid w:val="00DE7E8B"/>
    <w:rsid w:val="00E11009"/>
    <w:rsid w:val="00F46700"/>
    <w:rsid w:val="00FC02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746D36-1C01-45D4-B07F-022CB032C7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666D8"/>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66D8"/>
  </w:style>
  <w:style w:type="paragraph" w:styleId="Footer">
    <w:name w:val="footer"/>
    <w:basedOn w:val="Normal"/>
    <w:link w:val="FooterChar"/>
    <w:uiPriority w:val="99"/>
    <w:unhideWhenUsed/>
    <w:rsid w:val="003666D8"/>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66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7014034">
      <w:bodyDiv w:val="1"/>
      <w:marLeft w:val="0"/>
      <w:marRight w:val="0"/>
      <w:marTop w:val="0"/>
      <w:marBottom w:val="0"/>
      <w:divBdr>
        <w:top w:val="none" w:sz="0" w:space="0" w:color="auto"/>
        <w:left w:val="none" w:sz="0" w:space="0" w:color="auto"/>
        <w:bottom w:val="none" w:sz="0" w:space="0" w:color="auto"/>
        <w:right w:val="none" w:sz="0" w:space="0" w:color="auto"/>
      </w:divBdr>
      <w:divsChild>
        <w:div w:id="1695493200">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3.xml"/><Relationship Id="rId3" Type="http://schemas.openxmlformats.org/officeDocument/2006/relationships/webSettings" Target="webSettings.xml"/><Relationship Id="rId7" Type="http://schemas.openxmlformats.org/officeDocument/2006/relationships/chart" Target="charts/chart2.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hart" Target="charts/chart1.xm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r>
              <a:rPr lang="en-US" sz="1200" b="0">
                <a:solidFill>
                  <a:schemeClr val="bg2">
                    <a:lumMod val="10000"/>
                  </a:schemeClr>
                </a:solidFill>
                <a:latin typeface="Times New Roman" panose="02020603050405020304" pitchFamily="18" charset="0"/>
                <a:cs typeface="Times New Roman" panose="02020603050405020304" pitchFamily="18" charset="0"/>
              </a:rPr>
              <a:t>60 </a:t>
            </a:r>
            <a:r>
              <a:rPr lang="en-US" sz="1200" b="0" cap="none">
                <a:solidFill>
                  <a:schemeClr val="bg2">
                    <a:lumMod val="10000"/>
                  </a:schemeClr>
                </a:solidFill>
                <a:latin typeface="Times New Roman" panose="02020603050405020304" pitchFamily="18" charset="0"/>
                <a:cs typeface="Times New Roman" panose="02020603050405020304" pitchFamily="18" charset="0"/>
              </a:rPr>
              <a:t>KG Bags of Coffee Produced in Top 10 Countries</a:t>
            </a:r>
          </a:p>
        </c:rich>
      </c:tx>
      <c:overlay val="0"/>
      <c:spPr>
        <a:noFill/>
        <a:ln>
          <a:noFill/>
        </a:ln>
        <a:effectLst/>
      </c:spPr>
      <c:txPr>
        <a:bodyPr rot="0" spcFirstLastPara="1" vertOverflow="ellipsis" vert="horz" wrap="square" anchor="ctr" anchorCtr="1"/>
        <a:lstStyle/>
        <a:p>
          <a:pPr>
            <a:defRPr sz="18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stacked"/>
        <c:varyColors val="0"/>
        <c:ser>
          <c:idx val="0"/>
          <c:order val="0"/>
          <c:tx>
            <c:strRef>
              <c:f>Sheet1!$B$1</c:f>
              <c:strCache>
                <c:ptCount val="1"/>
                <c:pt idx="0">
                  <c:v>Top 10 Coffee Consumer Countries</c:v>
                </c:pt>
              </c:strCache>
            </c:strRef>
          </c:tx>
          <c:spPr>
            <a:solidFill>
              <a:schemeClr val="accent1">
                <a:alpha val="70000"/>
              </a:schemeClr>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ctr"/>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strRef>
              <c:f>Sheet1!$A$2:$A$11</c:f>
              <c:strCache>
                <c:ptCount val="10"/>
                <c:pt idx="0">
                  <c:v>Brazil</c:v>
                </c:pt>
                <c:pt idx="1">
                  <c:v>Vietnam </c:v>
                </c:pt>
                <c:pt idx="2">
                  <c:v>Colombia</c:v>
                </c:pt>
                <c:pt idx="3">
                  <c:v>Indonesia </c:v>
                </c:pt>
                <c:pt idx="4">
                  <c:v>Honduras </c:v>
                </c:pt>
                <c:pt idx="5">
                  <c:v>Ethiopia</c:v>
                </c:pt>
                <c:pt idx="6">
                  <c:v>India</c:v>
                </c:pt>
                <c:pt idx="7">
                  <c:v>Uganda</c:v>
                </c:pt>
                <c:pt idx="8">
                  <c:v>Peru</c:v>
                </c:pt>
                <c:pt idx="9">
                  <c:v>Mexico</c:v>
                </c:pt>
              </c:strCache>
            </c:strRef>
          </c:cat>
          <c:val>
            <c:numRef>
              <c:f>Sheet1!$B$2:$B$11</c:f>
              <c:numCache>
                <c:formatCode>General</c:formatCode>
                <c:ptCount val="10"/>
                <c:pt idx="0">
                  <c:v>50000</c:v>
                </c:pt>
                <c:pt idx="1">
                  <c:v>29000</c:v>
                </c:pt>
                <c:pt idx="2">
                  <c:v>15000</c:v>
                </c:pt>
                <c:pt idx="3">
                  <c:v>11000</c:v>
                </c:pt>
                <c:pt idx="4">
                  <c:v>8000</c:v>
                </c:pt>
                <c:pt idx="5">
                  <c:v>7000</c:v>
                </c:pt>
                <c:pt idx="6">
                  <c:v>5000</c:v>
                </c:pt>
                <c:pt idx="7">
                  <c:v>4000</c:v>
                </c:pt>
                <c:pt idx="8">
                  <c:v>3000</c:v>
                </c:pt>
                <c:pt idx="9">
                  <c:v>2000</c:v>
                </c:pt>
              </c:numCache>
            </c:numRef>
          </c:val>
        </c:ser>
        <c:dLbls>
          <c:dLblPos val="ctr"/>
          <c:showLegendKey val="0"/>
          <c:showVal val="1"/>
          <c:showCatName val="0"/>
          <c:showSerName val="0"/>
          <c:showPercent val="0"/>
          <c:showBubbleSize val="0"/>
        </c:dLbls>
        <c:gapWidth val="50"/>
        <c:overlap val="100"/>
        <c:axId val="382912312"/>
        <c:axId val="382908392"/>
      </c:barChart>
      <c:catAx>
        <c:axId val="382912312"/>
        <c:scaling>
          <c:orientation val="minMax"/>
        </c:scaling>
        <c:delete val="0"/>
        <c:axPos val="b"/>
        <c:numFmt formatCode="General" sourceLinked="1"/>
        <c:majorTickMark val="none"/>
        <c:minorTickMark val="none"/>
        <c:tickLblPos val="nextTo"/>
        <c:spPr>
          <a:noFill/>
          <a:ln w="9525" cap="flat" cmpd="sng" algn="ctr">
            <a:solidFill>
              <a:schemeClr val="tx1">
                <a:lumMod val="25000"/>
                <a:lumOff val="75000"/>
              </a:schemeClr>
            </a:solidFill>
            <a:round/>
            <a:headEnd type="none" w="sm" len="sm"/>
            <a:tailEnd type="none" w="sm" len="sm"/>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908392"/>
        <c:crosses val="autoZero"/>
        <c:auto val="1"/>
        <c:lblAlgn val="ctr"/>
        <c:lblOffset val="100"/>
        <c:noMultiLvlLbl val="0"/>
      </c:catAx>
      <c:valAx>
        <c:axId val="382908392"/>
        <c:scaling>
          <c:orientation val="minMax"/>
        </c:scaling>
        <c:delete val="0"/>
        <c:axPos val="l"/>
        <c:majorGridlines>
          <c:spPr>
            <a:ln w="9525" cap="flat" cmpd="sng" algn="ctr">
              <a:gradFill>
                <a:gsLst>
                  <a:gs pos="0">
                    <a:schemeClr val="tx1">
                      <a:lumMod val="5000"/>
                      <a:lumOff val="95000"/>
                    </a:schemeClr>
                  </a:gs>
                  <a:gs pos="100000">
                    <a:schemeClr val="tx1">
                      <a:lumMod val="15000"/>
                      <a:lumOff val="85000"/>
                    </a:schemeClr>
                  </a:gs>
                </a:gsLst>
                <a:lin ang="5400000" scaled="0"/>
              </a:gra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829123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b="0">
                <a:solidFill>
                  <a:schemeClr val="bg2">
                    <a:lumMod val="10000"/>
                  </a:schemeClr>
                </a:solidFill>
                <a:latin typeface="Times New Roman" panose="02020603050405020304" pitchFamily="18" charset="0"/>
                <a:cs typeface="Times New Roman" panose="02020603050405020304" pitchFamily="18" charset="0"/>
              </a:rPr>
              <a:t>Per Capita Coffee Consumption in 2016</a:t>
            </a:r>
          </a:p>
        </c:rich>
      </c:tx>
      <c:layout>
        <c:manualLayout>
          <c:xMode val="edge"/>
          <c:yMode val="edge"/>
          <c:x val="0.17491920715534459"/>
          <c:y val="1.3264104363192227E-2"/>
        </c:manualLayout>
      </c:layout>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en-US"/>
        </a:p>
      </c:txPr>
    </c:title>
    <c:autoTitleDeleted val="0"/>
    <c:plotArea>
      <c:layout>
        <c:manualLayout>
          <c:layoutTarget val="inner"/>
          <c:xMode val="edge"/>
          <c:yMode val="edge"/>
          <c:x val="0.14647772719095525"/>
          <c:y val="0.12433003300330035"/>
          <c:w val="0.82877710584946651"/>
          <c:h val="0.74346300771809459"/>
        </c:manualLayout>
      </c:layout>
      <c:barChart>
        <c:barDir val="bar"/>
        <c:grouping val="clustered"/>
        <c:varyColors val="0"/>
        <c:ser>
          <c:idx val="0"/>
          <c:order val="0"/>
          <c:tx>
            <c:strRef>
              <c:f>Sheet1!$B$1</c:f>
              <c:strCache>
                <c:ptCount val="1"/>
                <c:pt idx="0">
                  <c:v>Kg per person</c:v>
                </c:pt>
              </c:strCache>
            </c:strRef>
          </c:tx>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invertIfNegative val="0"/>
          <c:cat>
            <c:strRef>
              <c:f>Sheet1!$A$2:$A$14</c:f>
              <c:strCache>
                <c:ptCount val="13"/>
                <c:pt idx="0">
                  <c:v>Finland </c:v>
                </c:pt>
                <c:pt idx="1">
                  <c:v>Sweden </c:v>
                </c:pt>
                <c:pt idx="2">
                  <c:v>Iceland </c:v>
                </c:pt>
                <c:pt idx="3">
                  <c:v>Norway  </c:v>
                </c:pt>
                <c:pt idx="4">
                  <c:v>Denmark </c:v>
                </c:pt>
                <c:pt idx="5">
                  <c:v>Australia </c:v>
                </c:pt>
                <c:pt idx="6">
                  <c:v>Switzerland</c:v>
                </c:pt>
                <c:pt idx="7">
                  <c:v>Greece </c:v>
                </c:pt>
                <c:pt idx="8">
                  <c:v>Bosnia</c:v>
                </c:pt>
                <c:pt idx="9">
                  <c:v>Germany </c:v>
                </c:pt>
                <c:pt idx="11">
                  <c:v>US   </c:v>
                </c:pt>
                <c:pt idx="12">
                  <c:v>UK </c:v>
                </c:pt>
              </c:strCache>
            </c:strRef>
          </c:cat>
          <c:val>
            <c:numRef>
              <c:f>Sheet1!$B$2:$B$14</c:f>
              <c:numCache>
                <c:formatCode>General</c:formatCode>
                <c:ptCount val="13"/>
                <c:pt idx="0">
                  <c:v>13</c:v>
                </c:pt>
                <c:pt idx="1">
                  <c:v>11</c:v>
                </c:pt>
                <c:pt idx="2">
                  <c:v>9.5</c:v>
                </c:pt>
                <c:pt idx="3">
                  <c:v>9</c:v>
                </c:pt>
                <c:pt idx="4">
                  <c:v>8.4</c:v>
                </c:pt>
                <c:pt idx="5">
                  <c:v>8.3000000000000007</c:v>
                </c:pt>
                <c:pt idx="6">
                  <c:v>7.5</c:v>
                </c:pt>
                <c:pt idx="7">
                  <c:v>7.3</c:v>
                </c:pt>
                <c:pt idx="8">
                  <c:v>6.5</c:v>
                </c:pt>
                <c:pt idx="9">
                  <c:v>6.3</c:v>
                </c:pt>
              </c:numCache>
            </c:numRef>
          </c:val>
        </c:ser>
        <c:ser>
          <c:idx val="1"/>
          <c:order val="1"/>
          <c:tx>
            <c:strRef>
              <c:f>Sheet1!$C$1</c:f>
              <c:strCache>
                <c:ptCount val="1"/>
                <c:pt idx="0">
                  <c:v>Column2</c:v>
                </c:pt>
              </c:strCache>
            </c:strRef>
          </c:tx>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invertIfNegative val="0"/>
          <c:cat>
            <c:strRef>
              <c:f>Sheet1!$A$2:$A$14</c:f>
              <c:strCache>
                <c:ptCount val="13"/>
                <c:pt idx="0">
                  <c:v>Finland </c:v>
                </c:pt>
                <c:pt idx="1">
                  <c:v>Sweden </c:v>
                </c:pt>
                <c:pt idx="2">
                  <c:v>Iceland </c:v>
                </c:pt>
                <c:pt idx="3">
                  <c:v>Norway  </c:v>
                </c:pt>
                <c:pt idx="4">
                  <c:v>Denmark </c:v>
                </c:pt>
                <c:pt idx="5">
                  <c:v>Australia </c:v>
                </c:pt>
                <c:pt idx="6">
                  <c:v>Switzerland</c:v>
                </c:pt>
                <c:pt idx="7">
                  <c:v>Greece </c:v>
                </c:pt>
                <c:pt idx="8">
                  <c:v>Bosnia</c:v>
                </c:pt>
                <c:pt idx="9">
                  <c:v>Germany </c:v>
                </c:pt>
                <c:pt idx="11">
                  <c:v>US   </c:v>
                </c:pt>
                <c:pt idx="12">
                  <c:v>UK </c:v>
                </c:pt>
              </c:strCache>
            </c:strRef>
          </c:cat>
          <c:val>
            <c:numRef>
              <c:f>Sheet1!$C$2:$C$14</c:f>
              <c:numCache>
                <c:formatCode>General</c:formatCode>
                <c:ptCount val="13"/>
                <c:pt idx="11">
                  <c:v>4.8</c:v>
                </c:pt>
                <c:pt idx="12">
                  <c:v>3</c:v>
                </c:pt>
              </c:numCache>
            </c:numRef>
          </c:val>
        </c:ser>
        <c:ser>
          <c:idx val="2"/>
          <c:order val="2"/>
          <c:tx>
            <c:strRef>
              <c:f>Sheet1!$D$1</c:f>
              <c:strCache>
                <c:ptCount val="1"/>
                <c:pt idx="0">
                  <c:v>Column1</c:v>
                </c:pt>
              </c:strCache>
            </c:strRef>
          </c:tx>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invertIfNegative val="0"/>
          <c:cat>
            <c:strRef>
              <c:f>Sheet1!$A$2:$A$14</c:f>
              <c:strCache>
                <c:ptCount val="13"/>
                <c:pt idx="0">
                  <c:v>Finland </c:v>
                </c:pt>
                <c:pt idx="1">
                  <c:v>Sweden </c:v>
                </c:pt>
                <c:pt idx="2">
                  <c:v>Iceland </c:v>
                </c:pt>
                <c:pt idx="3">
                  <c:v>Norway  </c:v>
                </c:pt>
                <c:pt idx="4">
                  <c:v>Denmark </c:v>
                </c:pt>
                <c:pt idx="5">
                  <c:v>Australia </c:v>
                </c:pt>
                <c:pt idx="6">
                  <c:v>Switzerland</c:v>
                </c:pt>
                <c:pt idx="7">
                  <c:v>Greece </c:v>
                </c:pt>
                <c:pt idx="8">
                  <c:v>Bosnia</c:v>
                </c:pt>
                <c:pt idx="9">
                  <c:v>Germany </c:v>
                </c:pt>
                <c:pt idx="11">
                  <c:v>US   </c:v>
                </c:pt>
                <c:pt idx="12">
                  <c:v>UK </c:v>
                </c:pt>
              </c:strCache>
            </c:strRef>
          </c:cat>
          <c:val>
            <c:numRef>
              <c:f>Sheet1!$D$2:$D$14</c:f>
              <c:numCache>
                <c:formatCode>General</c:formatCode>
                <c:ptCount val="13"/>
              </c:numCache>
            </c:numRef>
          </c:val>
        </c:ser>
        <c:dLbls>
          <c:showLegendKey val="0"/>
          <c:showVal val="0"/>
          <c:showCatName val="0"/>
          <c:showSerName val="0"/>
          <c:showPercent val="0"/>
          <c:showBubbleSize val="0"/>
        </c:dLbls>
        <c:gapWidth val="100"/>
        <c:axId val="382909568"/>
        <c:axId val="382909176"/>
      </c:barChart>
      <c:catAx>
        <c:axId val="382909568"/>
        <c:scaling>
          <c:orientation val="minMax"/>
        </c:scaling>
        <c:delete val="0"/>
        <c:axPos val="l"/>
        <c:numFmt formatCode="General" sourceLinked="1"/>
        <c:majorTickMark val="none"/>
        <c:minorTickMark val="none"/>
        <c:tickLblPos val="nextTo"/>
        <c:spPr>
          <a:noFill/>
          <a:ln w="9525" cap="flat" cmpd="sng" algn="ctr">
            <a:solidFill>
              <a:schemeClr val="tx2">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82909176"/>
        <c:crosses val="autoZero"/>
        <c:auto val="1"/>
        <c:lblAlgn val="ctr"/>
        <c:lblOffset val="100"/>
        <c:noMultiLvlLbl val="0"/>
      </c:catAx>
      <c:valAx>
        <c:axId val="382909176"/>
        <c:scaling>
          <c:orientation val="minMax"/>
        </c:scaling>
        <c:delete val="0"/>
        <c:axPos val="b"/>
        <c:majorGridlines>
          <c:spPr>
            <a:ln w="9525" cap="flat" cmpd="sng" algn="ctr">
              <a:solidFill>
                <a:schemeClr val="tx2">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crossAx val="382909568"/>
        <c:crosses val="autoZero"/>
        <c:crossBetween val="between"/>
      </c:valAx>
      <c:spPr>
        <a:noFill/>
        <a:ln>
          <a:noFill/>
        </a:ln>
        <a:effectLst/>
      </c:spPr>
    </c:plotArea>
    <c:legend>
      <c:legendPos val="b"/>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r>
              <a:rPr lang="en-US" sz="1200">
                <a:solidFill>
                  <a:schemeClr val="bg2">
                    <a:lumMod val="10000"/>
                  </a:schemeClr>
                </a:solidFill>
                <a:latin typeface="Times New Roman" panose="02020603050405020304" pitchFamily="18" charset="0"/>
                <a:cs typeface="Times New Roman" panose="02020603050405020304" pitchFamily="18" charset="0"/>
              </a:rPr>
              <a:t>Retail Prices of Roasted Coffee</a:t>
            </a:r>
          </a:p>
        </c:rich>
      </c:tx>
      <c:overlay val="0"/>
      <c:spPr>
        <a:noFill/>
        <a:ln>
          <a:noFill/>
        </a:ln>
        <a:effectLst/>
      </c:spPr>
      <c:txPr>
        <a:bodyPr rot="0" spcFirstLastPara="1" vertOverflow="ellipsis" vert="horz" wrap="square" anchor="ctr" anchorCtr="1"/>
        <a:lstStyle/>
        <a:p>
          <a:pPr>
            <a:defRPr sz="1600" b="1" i="0" u="none" strike="noStrike" kern="1200" cap="none" spc="0" normalizeH="0" baseline="0">
              <a:solidFill>
                <a:schemeClr val="dk1">
                  <a:lumMod val="50000"/>
                  <a:lumOff val="50000"/>
                </a:schemeClr>
              </a:solidFill>
              <a:latin typeface="+mj-lt"/>
              <a:ea typeface="+mj-ea"/>
              <a:cs typeface="+mj-cs"/>
            </a:defRPr>
          </a:pPr>
          <a:endParaRPr lang="en-US"/>
        </a:p>
      </c:txPr>
    </c:title>
    <c:autoTitleDeleted val="0"/>
    <c:plotArea>
      <c:layout/>
      <c:barChart>
        <c:barDir val="col"/>
        <c:grouping val="stacked"/>
        <c:varyColors val="0"/>
        <c:ser>
          <c:idx val="0"/>
          <c:order val="0"/>
          <c:tx>
            <c:strRef>
              <c:f>Sheet1!$B$1</c:f>
              <c:strCache>
                <c:ptCount val="1"/>
                <c:pt idx="0">
                  <c:v>Price in USD ($) per pound, 2016</c:v>
                </c:pt>
              </c:strCache>
            </c:strRef>
          </c:tx>
          <c:spPr>
            <a:solidFill>
              <a:schemeClr val="accent1"/>
            </a:solidFill>
            <a:ln>
              <a:noFill/>
            </a:ln>
            <a:effectLst/>
          </c:spPr>
          <c:invertIfNegative val="0"/>
          <c:cat>
            <c:strRef>
              <c:f>Sheet1!$A$2:$A$10</c:f>
              <c:strCache>
                <c:ptCount val="9"/>
                <c:pt idx="0">
                  <c:v>UK</c:v>
                </c:pt>
                <c:pt idx="1">
                  <c:v>Malta</c:v>
                </c:pt>
                <c:pt idx="2">
                  <c:v>Italy</c:v>
                </c:pt>
                <c:pt idx="3">
                  <c:v>Luxembourg</c:v>
                </c:pt>
                <c:pt idx="4">
                  <c:v>Russia</c:v>
                </c:pt>
                <c:pt idx="5">
                  <c:v>Latvia</c:v>
                </c:pt>
                <c:pt idx="6">
                  <c:v>C. Republic</c:v>
                </c:pt>
                <c:pt idx="7">
                  <c:v>Lithuania</c:v>
                </c:pt>
                <c:pt idx="8">
                  <c:v>Slovakia</c:v>
                </c:pt>
              </c:strCache>
            </c:strRef>
          </c:cat>
          <c:val>
            <c:numRef>
              <c:f>Sheet1!$B$2:$B$10</c:f>
              <c:numCache>
                <c:formatCode>General</c:formatCode>
                <c:ptCount val="9"/>
                <c:pt idx="0">
                  <c:v>16.3</c:v>
                </c:pt>
                <c:pt idx="1">
                  <c:v>13.8</c:v>
                </c:pt>
                <c:pt idx="2">
                  <c:v>7.9</c:v>
                </c:pt>
                <c:pt idx="3">
                  <c:v>7.8</c:v>
                </c:pt>
                <c:pt idx="4">
                  <c:v>7</c:v>
                </c:pt>
                <c:pt idx="5">
                  <c:v>6.3</c:v>
                </c:pt>
                <c:pt idx="6">
                  <c:v>6.1</c:v>
                </c:pt>
                <c:pt idx="7">
                  <c:v>6</c:v>
                </c:pt>
                <c:pt idx="8">
                  <c:v>5.9</c:v>
                </c:pt>
              </c:numCache>
            </c:numRef>
          </c:val>
        </c:ser>
        <c:ser>
          <c:idx val="1"/>
          <c:order val="1"/>
          <c:tx>
            <c:strRef>
              <c:f>Sheet1!$C$1</c:f>
              <c:strCache>
                <c:ptCount val="1"/>
                <c:pt idx="0">
                  <c:v>Column2</c:v>
                </c:pt>
              </c:strCache>
            </c:strRef>
          </c:tx>
          <c:spPr>
            <a:solidFill>
              <a:schemeClr val="accent2"/>
            </a:solidFill>
            <a:ln>
              <a:noFill/>
            </a:ln>
            <a:effectLst/>
          </c:spPr>
          <c:invertIfNegative val="0"/>
          <c:cat>
            <c:strRef>
              <c:f>Sheet1!$A$2:$A$10</c:f>
              <c:strCache>
                <c:ptCount val="9"/>
                <c:pt idx="0">
                  <c:v>UK</c:v>
                </c:pt>
                <c:pt idx="1">
                  <c:v>Malta</c:v>
                </c:pt>
                <c:pt idx="2">
                  <c:v>Italy</c:v>
                </c:pt>
                <c:pt idx="3">
                  <c:v>Luxembourg</c:v>
                </c:pt>
                <c:pt idx="4">
                  <c:v>Russia</c:v>
                </c:pt>
                <c:pt idx="5">
                  <c:v>Latvia</c:v>
                </c:pt>
                <c:pt idx="6">
                  <c:v>C. Republic</c:v>
                </c:pt>
                <c:pt idx="7">
                  <c:v>Lithuania</c:v>
                </c:pt>
                <c:pt idx="8">
                  <c:v>Slovakia</c:v>
                </c:pt>
              </c:strCache>
            </c:strRef>
          </c:cat>
          <c:val>
            <c:numRef>
              <c:f>Sheet1!$C$2:$C$10</c:f>
              <c:numCache>
                <c:formatCode>General</c:formatCode>
                <c:ptCount val="9"/>
              </c:numCache>
            </c:numRef>
          </c:val>
        </c:ser>
        <c:ser>
          <c:idx val="2"/>
          <c:order val="2"/>
          <c:tx>
            <c:strRef>
              <c:f>Sheet1!$D$1</c:f>
              <c:strCache>
                <c:ptCount val="1"/>
                <c:pt idx="0">
                  <c:v>Column1</c:v>
                </c:pt>
              </c:strCache>
            </c:strRef>
          </c:tx>
          <c:spPr>
            <a:solidFill>
              <a:schemeClr val="accent3"/>
            </a:solidFill>
            <a:ln>
              <a:noFill/>
            </a:ln>
            <a:effectLst/>
          </c:spPr>
          <c:invertIfNegative val="0"/>
          <c:cat>
            <c:strRef>
              <c:f>Sheet1!$A$2:$A$10</c:f>
              <c:strCache>
                <c:ptCount val="9"/>
                <c:pt idx="0">
                  <c:v>UK</c:v>
                </c:pt>
                <c:pt idx="1">
                  <c:v>Malta</c:v>
                </c:pt>
                <c:pt idx="2">
                  <c:v>Italy</c:v>
                </c:pt>
                <c:pt idx="3">
                  <c:v>Luxembourg</c:v>
                </c:pt>
                <c:pt idx="4">
                  <c:v>Russia</c:v>
                </c:pt>
                <c:pt idx="5">
                  <c:v>Latvia</c:v>
                </c:pt>
                <c:pt idx="6">
                  <c:v>C. Republic</c:v>
                </c:pt>
                <c:pt idx="7">
                  <c:v>Lithuania</c:v>
                </c:pt>
                <c:pt idx="8">
                  <c:v>Slovakia</c:v>
                </c:pt>
              </c:strCache>
            </c:strRef>
          </c:cat>
          <c:val>
            <c:numRef>
              <c:f>Sheet1!$D$2:$D$10</c:f>
              <c:numCache>
                <c:formatCode>General</c:formatCode>
                <c:ptCount val="9"/>
              </c:numCache>
            </c:numRef>
          </c:val>
        </c:ser>
        <c:dLbls>
          <c:showLegendKey val="0"/>
          <c:showVal val="0"/>
          <c:showCatName val="0"/>
          <c:showSerName val="0"/>
          <c:showPercent val="0"/>
          <c:showBubbleSize val="0"/>
        </c:dLbls>
        <c:gapWidth val="150"/>
        <c:overlap val="100"/>
        <c:axId val="382911136"/>
        <c:axId val="382911528"/>
      </c:barChart>
      <c:catAx>
        <c:axId val="382911136"/>
        <c:scaling>
          <c:orientation val="minMax"/>
        </c:scaling>
        <c:delete val="0"/>
        <c:axPos val="b"/>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dk1">
                    <a:lumMod val="65000"/>
                    <a:lumOff val="35000"/>
                  </a:schemeClr>
                </a:solidFill>
                <a:latin typeface="+mn-lt"/>
                <a:ea typeface="+mn-ea"/>
                <a:cs typeface="+mn-cs"/>
              </a:defRPr>
            </a:pPr>
            <a:endParaRPr lang="en-US"/>
          </a:p>
        </c:txPr>
        <c:crossAx val="382911528"/>
        <c:crosses val="autoZero"/>
        <c:auto val="1"/>
        <c:lblAlgn val="ctr"/>
        <c:lblOffset val="100"/>
        <c:noMultiLvlLbl val="0"/>
      </c:catAx>
      <c:valAx>
        <c:axId val="382911528"/>
        <c:scaling>
          <c:orientation val="minMax"/>
        </c:scaling>
        <c:delete val="0"/>
        <c:axPos val="l"/>
        <c:majorGridlines>
          <c:spPr>
            <a:ln w="9525" cap="flat" cmpd="sng" algn="ctr">
              <a:solidFill>
                <a:schemeClr val="dk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crossAx val="382911136"/>
        <c:crosses val="autoZero"/>
        <c:crossBetween val="between"/>
      </c:valAx>
      <c:spPr>
        <a:pattFill prst="ltDnDiag">
          <a:fgClr>
            <a:schemeClr val="dk1">
              <a:lumMod val="15000"/>
              <a:lumOff val="85000"/>
            </a:schemeClr>
          </a:fgClr>
          <a:bgClr>
            <a:schemeClr val="lt1"/>
          </a:bgClr>
        </a:pattFill>
        <a:ln>
          <a:noFill/>
        </a:ln>
        <a:effectLst/>
      </c:spPr>
    </c:plotArea>
    <c:legend>
      <c:legendPos val="b"/>
      <c:legendEntry>
        <c:idx val="1"/>
        <c:delete val="1"/>
      </c:legendEntry>
      <c:legendEntry>
        <c:idx val="2"/>
        <c:delete val="1"/>
      </c:legendEntry>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en-US"/>
        </a:p>
      </c:txPr>
    </c:legend>
    <c:plotVisOnly val="1"/>
    <c:dispBlanksAs val="gap"/>
    <c:showDLblsOverMax val="0"/>
  </c:chart>
  <c:spPr>
    <a:solidFill>
      <a:schemeClr val="lt1"/>
    </a:soli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30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headEnd type="none" w="sm" len="sm"/>
        <a:tailEnd type="none" w="sm" len="sm"/>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bg1"/>
    </cs:fontRef>
    <cs:spPr>
      <a:solidFill>
        <a:schemeClr val="tx1">
          <a:lumMod val="50000"/>
          <a:lumOff val="50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alpha val="70000"/>
        </a:schemeClr>
      </a:solidFill>
    </cs:spPr>
  </cs:dataPoint>
  <cs:dataPoint3D>
    <cs:lnRef idx="0"/>
    <cs:fillRef idx="0">
      <cs:styleClr val="auto"/>
    </cs:fillRef>
    <cs:effectRef idx="0"/>
    <cs:fontRef idx="minor">
      <a:schemeClr val="tx1"/>
    </cs:fontRef>
    <cs:spPr>
      <a:solidFill>
        <a:schemeClr val="phClr">
          <a:alpha val="70000"/>
        </a:schemeClr>
      </a:solidFill>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styleClr val="auto"/>
    </cs:lnRef>
    <cs:fillRef idx="0">
      <cs:styleClr val="auto"/>
    </cs:fillRef>
    <cs:effectRef idx="0"/>
    <cs:fontRef idx="minor">
      <a:schemeClr val="dk1"/>
    </cs:fontRef>
    <cs:spPr>
      <a:gradFill>
        <a:gsLst>
          <a:gs pos="0">
            <a:schemeClr val="phClr"/>
          </a:gs>
          <a:gs pos="46000">
            <a:schemeClr val="phClr"/>
          </a:gs>
          <a:gs pos="100000">
            <a:schemeClr val="phClr">
              <a:lumMod val="20000"/>
              <a:lumOff val="80000"/>
              <a:alpha val="0"/>
            </a:schemeClr>
          </a:gs>
        </a:gsLst>
        <a:path path="circle">
          <a:fillToRect l="50000" t="-80000" r="50000" b="180000"/>
        </a:path>
      </a:gradFill>
      <a:ln w="9525" cap="flat" cmpd="sng" algn="ctr">
        <a:solidFill>
          <a:schemeClr val="phClr">
            <a:shade val="95000"/>
          </a:scheme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65000"/>
            <a:lumOff val="3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cap="flat" cmpd="sng" algn="ctr">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ajor>
  <cs:gridlineMinor>
    <cs:lnRef idx="0"/>
    <cs:fillRef idx="0"/>
    <cs:effectRef idx="0"/>
    <cs:fontRef idx="minor">
      <a:schemeClr val="dk1"/>
    </cs:fontRef>
    <cs:spPr>
      <a:ln w="9525" cap="flat" cmpd="sng" algn="ctr">
        <a:gradFill>
          <a:gsLst>
            <a:gs pos="0">
              <a:schemeClr val="tx1">
                <a:lumMod val="5000"/>
                <a:lumOff val="95000"/>
              </a:schemeClr>
            </a:gs>
            <a:gs pos="100000">
              <a:schemeClr val="tx1">
                <a:lumMod val="15000"/>
                <a:lumOff val="85000"/>
              </a:schemeClr>
            </a:gs>
          </a:gsLst>
          <a:lin ang="5400000" scaled="0"/>
        </a:gradFill>
        <a:round/>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headEnd type="none" w="sm" len="sm"/>
        <a:tailEnd type="none" w="sm" len="sm"/>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800" b="1" kern="1200" cap="all" spc="50" baseline="0"/>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20">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303">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ap="none" spc="0" normalizeH="0" baseline="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a:schemeClr val="dk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lt1"/>
      </a:solidFill>
      <a:ln w="15875">
        <a:solidFill>
          <a:schemeClr val="phClr"/>
        </a:solidFill>
        <a:round/>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8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50000"/>
            <a:lumOff val="50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50000"/>
            <a:lumOff val="50000"/>
          </a:schemeClr>
        </a:solidFill>
        <a:round/>
      </a:ln>
    </cs:spPr>
  </cs:errorBar>
  <cs:floor>
    <cs:lnRef idx="0"/>
    <cs:fillRef idx="0"/>
    <cs:effectRef idx="0"/>
    <cs:fontRef idx="minor">
      <a:schemeClr val="dk1"/>
    </cs:fontRef>
    <cs:spPr>
      <a:pattFill prst="ltDnDiag">
        <a:fgClr>
          <a:schemeClr val="dk1">
            <a:lumMod val="15000"/>
            <a:lumOff val="85000"/>
          </a:schemeClr>
        </a:fgClr>
        <a:bgClr>
          <a:schemeClr val="lt1"/>
        </a:bgClr>
      </a:pattFill>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35000"/>
            <a:lumOff val="65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spPr>
      <a:pattFill prst="ltDnDiag">
        <a:fgClr>
          <a:schemeClr val="dk1">
            <a:lumMod val="15000"/>
            <a:lumOff val="85000"/>
          </a:schemeClr>
        </a:fgClr>
        <a:bgClr>
          <a:schemeClr val="lt1"/>
        </a:bgClr>
      </a:pattFill>
    </cs:spPr>
  </cs:plotArea>
  <cs:plotArea3D>
    <cs:lnRef idx="0"/>
    <cs:fillRef idx="0"/>
    <cs:effectRef idx="0"/>
    <cs:fontRef idx="minor">
      <a:schemeClr val="dk1"/>
    </cs:fontRef>
    <cs:spPr>
      <a:solidFill>
        <a:schemeClr val="lt1"/>
      </a:solidFill>
    </cs:spPr>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ajor">
      <a:schemeClr val="dk1">
        <a:lumMod val="50000"/>
        <a:lumOff val="50000"/>
      </a:schemeClr>
    </cs:fontRef>
    <cs:defRPr sz="1600" b="1" kern="1200" cap="none" spc="0" normalizeH="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50000"/>
            <a:lumOff val="50000"/>
          </a:schemeClr>
        </a:solidFill>
        <a:round/>
      </a:ln>
    </cs:spPr>
  </cs:upBar>
  <cs:value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spPr>
      <a:pattFill prst="ltDnDiag">
        <a:fgClr>
          <a:schemeClr val="dk1">
            <a:lumMod val="15000"/>
            <a:lumOff val="85000"/>
          </a:schemeClr>
        </a:fgClr>
        <a:bgClr>
          <a:schemeClr val="lt1"/>
        </a:bgClr>
      </a:pattFill>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290</TotalTime>
  <Pages>9</Pages>
  <Words>1362</Words>
  <Characters>7770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Ministry of Education</Company>
  <LinksUpToDate>false</LinksUpToDate>
  <CharactersWithSpaces>9114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Peace</dc:creator>
  <cp:keywords/>
  <dc:description/>
  <cp:lastModifiedBy>Ryan Peace</cp:lastModifiedBy>
  <cp:revision>34</cp:revision>
  <dcterms:created xsi:type="dcterms:W3CDTF">2019-11-14T09:30:00Z</dcterms:created>
  <dcterms:modified xsi:type="dcterms:W3CDTF">2019-11-14T14:39:00Z</dcterms:modified>
</cp:coreProperties>
</file>